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8"/>
          <w:szCs w:val="56"/>
        </w:rPr>
      </w:pPr>
    </w:p>
    <w:p>
      <w:pPr>
        <w:jc w:val="center"/>
        <w:rPr>
          <w:rFonts w:hint="eastAsia"/>
          <w:b/>
          <w:bCs/>
          <w:sz w:val="48"/>
          <w:szCs w:val="56"/>
        </w:rPr>
      </w:pPr>
      <w:r>
        <w:rPr>
          <w:rFonts w:hint="eastAsia"/>
          <w:b/>
          <w:bCs/>
          <w:sz w:val="48"/>
          <w:szCs w:val="56"/>
          <w:lang w:val="en-US" w:eastAsia="zh-CN"/>
        </w:rPr>
        <w:t>触摸屏</w:t>
      </w:r>
      <w:r>
        <w:rPr>
          <w:rFonts w:hint="eastAsia"/>
          <w:b/>
          <w:bCs/>
          <w:sz w:val="48"/>
          <w:szCs w:val="56"/>
          <w:lang w:eastAsia="zh-CN"/>
        </w:rPr>
        <w:t>显微</w:t>
      </w:r>
      <w:r>
        <w:rPr>
          <w:rFonts w:hint="eastAsia"/>
          <w:b/>
          <w:bCs/>
          <w:sz w:val="48"/>
          <w:szCs w:val="56"/>
        </w:rPr>
        <w:t>硬度计</w:t>
      </w:r>
    </w:p>
    <w:p>
      <w:pPr>
        <w:bidi w:val="0"/>
        <w:jc w:val="center"/>
        <w:rPr>
          <w:rFonts w:hint="default"/>
          <w:lang w:val="en-US" w:eastAsia="zh-CN"/>
        </w:rPr>
      </w:pPr>
      <w:r>
        <w:rPr>
          <w:rFonts w:hint="eastAsia" w:ascii="宋体" w:hAnsi="宋体" w:eastAsia="宋体" w:cs="宋体"/>
          <w:b/>
          <w:bCs/>
          <w:sz w:val="44"/>
          <w:szCs w:val="44"/>
          <w:lang w:val="en-US" w:eastAsia="zh-CN"/>
        </w:rPr>
        <w:t>HVST-1000Z</w:t>
      </w:r>
    </w:p>
    <w:p>
      <w:pPr>
        <w:tabs>
          <w:tab w:val="left" w:pos="866"/>
        </w:tabs>
        <w:bidi w:val="0"/>
        <w:spacing w:line="360" w:lineRule="auto"/>
        <w:ind w:firstLine="480" w:firstLineChars="200"/>
        <w:jc w:val="left"/>
        <w:rPr>
          <w:rFonts w:hint="eastAsia"/>
          <w:sz w:val="24"/>
          <w:szCs w:val="32"/>
          <w:lang w:val="en-US" w:eastAsia="zh-CN"/>
        </w:rPr>
      </w:pPr>
      <w:r>
        <w:rPr>
          <w:rFonts w:hint="eastAsia"/>
          <w:sz w:val="24"/>
          <w:szCs w:val="32"/>
          <w:lang w:val="en-US" w:eastAsia="zh-CN"/>
        </w:rPr>
        <w:t>钉钯精密仪器（深圳）有限公司是从事测试仪器，硬度试验仪器，金相设备的专业厂家，具有雄厚的设计、开发、制造能力。公司产品广泛应用于科研院所、高等院校、商检质监、机械制造及加工、冶金、钢铁、锅炉、压力容器、钢结构、石油、化工、油田钻井、煤炭、电力、能源、铁路交通、航空航天、橡胶塑料、轻工电子、电线电缆、纺织、造纸、制革、建筑建材、印刷、食品、医疗等行业和领域。</w:t>
      </w:r>
    </w:p>
    <w:p>
      <w:pPr>
        <w:tabs>
          <w:tab w:val="left" w:pos="866"/>
        </w:tabs>
        <w:bidi w:val="0"/>
        <w:spacing w:line="360" w:lineRule="auto"/>
        <w:ind w:firstLine="480" w:firstLineChars="200"/>
        <w:jc w:val="left"/>
        <w:rPr>
          <w:rFonts w:hint="eastAsia"/>
          <w:sz w:val="24"/>
          <w:szCs w:val="32"/>
          <w:lang w:val="en-US" w:eastAsia="zh-CN"/>
        </w:rPr>
      </w:pPr>
      <w:r>
        <w:rPr>
          <w:rFonts w:hint="eastAsia"/>
          <w:sz w:val="24"/>
          <w:szCs w:val="32"/>
          <w:lang w:val="en-US" w:eastAsia="zh-CN"/>
        </w:rPr>
        <w:t>本公司对老产品不断的进行更新改造，满足了用户需要，赢得用户的信任，形成了庞大的市场网络。产品广泛用于机械制造、冶金、化工、电力、大专院校，科研单位使用，并根据用户需求承接为大型冶金企业设计、开发、制造在线专用试验仪器。</w:t>
      </w:r>
    </w:p>
    <w:p>
      <w:pPr>
        <w:tabs>
          <w:tab w:val="left" w:pos="866"/>
        </w:tabs>
        <w:bidi w:val="0"/>
        <w:spacing w:line="360" w:lineRule="auto"/>
        <w:ind w:firstLine="480" w:firstLineChars="200"/>
        <w:jc w:val="left"/>
        <w:rPr>
          <w:rFonts w:hint="eastAsia"/>
          <w:sz w:val="24"/>
          <w:szCs w:val="32"/>
          <w:lang w:val="en-US" w:eastAsia="zh-CN"/>
        </w:rPr>
      </w:pPr>
      <w:r>
        <w:rPr>
          <w:rFonts w:hint="eastAsia"/>
          <w:sz w:val="24"/>
          <w:szCs w:val="32"/>
          <w:lang w:val="en-US" w:eastAsia="zh-CN"/>
        </w:rPr>
        <w:t>近年来我公司又加大在技术开发上的投入，开发出几十种具有国际先进水平的金相制样设备，多款产品完全替代了进口产品，达到了国内一流水平，公司有一整套完善的营销与售后服务体系，能及时、准确、高效地解决用户在购买前的咨询、设计、生产、安装、调试、培训等完善的售前和售后服务。钉钯精密仪器（深圳）有限公司全体力争为用户提供最优解决方案！</w:t>
      </w: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r>
        <w:rPr>
          <w:rFonts w:hint="eastAsia"/>
          <w:sz w:val="24"/>
          <w:szCs w:val="32"/>
          <w:lang w:val="en-US" w:eastAsia="zh-CN"/>
        </w:rPr>
        <w:t>依托服务网络化、人员专业化、运营市场化、管理人性化的体系，我们期待着为您提供更优质的产品和服务。不断进取的钉钯精密仪器将为信息技术的现代化提供有力的保障。愿与广大用户、经销商、科研机构精诚合作，创造更加美好的无损检测仪器时代！</w:t>
      </w: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ind w:firstLine="480" w:firstLineChars="200"/>
        <w:jc w:val="left"/>
        <w:rPr>
          <w:rFonts w:hint="eastAsia"/>
          <w:sz w:val="24"/>
          <w:szCs w:val="32"/>
          <w:lang w:val="en-US" w:eastAsia="zh-CN"/>
        </w:rPr>
      </w:pPr>
    </w:p>
    <w:p>
      <w:pPr>
        <w:tabs>
          <w:tab w:val="left" w:pos="866"/>
        </w:tabs>
        <w:bidi w:val="0"/>
        <w:spacing w:line="360" w:lineRule="auto"/>
        <w:jc w:val="left"/>
        <w:rPr>
          <w:rFonts w:hint="eastAsia"/>
          <w:sz w:val="24"/>
          <w:szCs w:val="32"/>
          <w:lang w:val="en-US" w:eastAsia="zh-CN"/>
        </w:rPr>
      </w:pPr>
    </w:p>
    <w:p>
      <w:pPr>
        <w:jc w:val="center"/>
        <w:rPr>
          <w:rFonts w:hint="eastAsia" w:ascii="宋体" w:hAnsi="宋体"/>
          <w:b/>
          <w:sz w:val="44"/>
          <w:szCs w:val="44"/>
        </w:rPr>
      </w:pPr>
      <w:r>
        <w:rPr>
          <w:rFonts w:hint="eastAsia" w:ascii="宋体" w:hAnsi="宋体"/>
          <w:b/>
          <w:sz w:val="44"/>
          <w:szCs w:val="44"/>
        </w:rPr>
        <w:t>触摸屏数显自动转塔显微硬度计</w:t>
      </w:r>
    </w:p>
    <w:p>
      <w:pPr>
        <w:keepNext w:val="0"/>
        <w:keepLines w:val="0"/>
        <w:pageBreakBefore w:val="0"/>
        <w:kinsoku/>
        <w:wordWrap/>
        <w:overflowPunct/>
        <w:topLinePunct w:val="0"/>
        <w:autoSpaceDE/>
        <w:autoSpaceDN/>
        <w:bidi w:val="0"/>
        <w:spacing w:line="360" w:lineRule="auto"/>
        <w:jc w:val="center"/>
        <w:textAlignment w:val="auto"/>
        <w:rPr>
          <w:rFonts w:hint="eastAsia" w:ascii="宋体" w:hAnsi="宋体"/>
          <w:b/>
          <w:sz w:val="24"/>
          <w:szCs w:val="24"/>
        </w:rPr>
      </w:pP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b/>
          <w:sz w:val="24"/>
          <w:szCs w:val="24"/>
        </w:rPr>
      </w:pPr>
      <w:r>
        <w:rPr>
          <w:rFonts w:hint="eastAsia"/>
          <w:sz w:val="24"/>
          <w:szCs w:val="24"/>
        </w:rPr>
        <w:t>本款数显自动转塔显微硬度计是本公司最新研制的新一代多功能触摸屏显微硬度计，</w:t>
      </w:r>
      <w:r>
        <w:rPr>
          <w:rFonts w:hint="eastAsia" w:ascii="宋体" w:hAnsi="宋体"/>
          <w:sz w:val="24"/>
          <w:szCs w:val="24"/>
        </w:rPr>
        <w:t>该硬度计造型新颖,具有良好的可靠性、可操作性和重复性，是测试显微硬度的理想产品。该机采用C语言编制程序，高倍率光学测量系统和光学双通道结构，光电、光偶传感等新技术</w:t>
      </w:r>
      <w:r>
        <w:rPr>
          <w:rFonts w:hint="eastAsia"/>
          <w:sz w:val="24"/>
          <w:szCs w:val="24"/>
        </w:rPr>
        <w:t>、除了可以满足基本的维氏硬度测试要求，</w:t>
      </w:r>
      <w:r>
        <w:rPr>
          <w:rFonts w:hint="eastAsia" w:ascii="宋体" w:hAnsi="宋体" w:cs="宋体"/>
          <w:kern w:val="0"/>
          <w:sz w:val="24"/>
          <w:szCs w:val="24"/>
        </w:rPr>
        <w:t>升级后的数显测微目镜可以直接读取测量长度，从而更加快速准确的得出测量值，</w:t>
      </w:r>
      <w:r>
        <w:rPr>
          <w:rFonts w:hint="eastAsia"/>
          <w:sz w:val="24"/>
          <w:szCs w:val="24"/>
        </w:rPr>
        <w:t>升级后的控制操作系统，采用7寸液晶触摸显示屏，可以提供更多的测量数据，控制也更全面精准</w:t>
      </w:r>
      <w:r>
        <w:rPr>
          <w:rFonts w:hint="eastAsia" w:ascii="宋体" w:hAnsi="宋体"/>
          <w:sz w:val="24"/>
          <w:szCs w:val="24"/>
        </w:rPr>
        <w:t>。</w:t>
      </w:r>
    </w:p>
    <w:p>
      <w:pPr>
        <w:keepNext w:val="0"/>
        <w:keepLines w:val="0"/>
        <w:pageBreakBefore w:val="0"/>
        <w:widowControl/>
        <w:kinsoku/>
        <w:wordWrap/>
        <w:overflowPunct/>
        <w:topLinePunct w:val="0"/>
        <w:autoSpaceDE/>
        <w:autoSpaceDN/>
        <w:bidi w:val="0"/>
        <w:spacing w:line="360" w:lineRule="auto"/>
        <w:ind w:firstLine="1800" w:firstLineChars="750"/>
        <w:jc w:val="left"/>
        <w:textAlignment w:val="auto"/>
        <w:rPr>
          <w:rFonts w:hint="eastAsia" w:ascii="宋体" w:hAnsi="宋体" w:cs="宋体"/>
          <w:kern w:val="0"/>
          <w:sz w:val="24"/>
          <w:szCs w:val="24"/>
        </w:rPr>
      </w:pPr>
    </w:p>
    <w:p>
      <w:pPr>
        <w:keepNext w:val="0"/>
        <w:keepLines w:val="0"/>
        <w:pageBreakBefore w:val="0"/>
        <w:kinsoku/>
        <w:wordWrap/>
        <w:overflowPunct/>
        <w:topLinePunct w:val="0"/>
        <w:autoSpaceDE/>
        <w:autoSpaceDN/>
        <w:bidi w:val="0"/>
        <w:spacing w:line="360" w:lineRule="auto"/>
        <w:textAlignment w:val="auto"/>
        <w:rPr>
          <w:rFonts w:hint="eastAsia" w:ascii="宋体" w:hAnsi="宋体"/>
          <w:b/>
          <w:sz w:val="24"/>
          <w:szCs w:val="24"/>
        </w:rPr>
      </w:pPr>
      <w:r>
        <w:rPr>
          <w:rFonts w:hint="eastAsia"/>
          <w:sz w:val="24"/>
          <w:szCs w:val="24"/>
        </w:rPr>
        <w:t xml:space="preserve">   </w:t>
      </w:r>
      <w:r>
        <w:rPr>
          <w:rFonts w:hint="eastAsia"/>
          <w:b/>
          <w:sz w:val="24"/>
          <w:szCs w:val="24"/>
        </w:rPr>
        <w:t>主要功能和特点：</w:t>
      </w:r>
    </w:p>
    <w:p>
      <w:pPr>
        <w:keepNext w:val="0"/>
        <w:keepLines w:val="0"/>
        <w:pageBreakBefore w:val="0"/>
        <w:numPr>
          <w:ilvl w:val="0"/>
          <w:numId w:val="1"/>
        </w:numPr>
        <w:kinsoku/>
        <w:wordWrap/>
        <w:overflowPunct/>
        <w:topLinePunct w:val="0"/>
        <w:autoSpaceDE/>
        <w:autoSpaceDN/>
        <w:bidi w:val="0"/>
        <w:spacing w:line="360" w:lineRule="auto"/>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sz w:val="24"/>
          <w:szCs w:val="24"/>
        </w:rPr>
        <w:t>高级光学工程师设计的光学系统不仅图像清晰，还可作为简单的显微镜使用，亮度可调，视觉</w:t>
      </w:r>
      <w:r>
        <w:rPr>
          <w:rFonts w:hint="eastAsia" w:ascii="宋体" w:hAnsi="宋体" w:eastAsia="宋体" w:cs="宋体"/>
          <w:color w:val="000000" w:themeColor="text1"/>
          <w:sz w:val="24"/>
          <w:szCs w:val="24"/>
          <w14:textFill>
            <w14:solidFill>
              <w14:schemeClr w14:val="tx1"/>
            </w14:solidFill>
          </w14:textFill>
        </w:rPr>
        <w:t>舒服，长时间操作不容易疲劳；</w:t>
      </w:r>
    </w:p>
    <w:p>
      <w:pPr>
        <w:keepNext w:val="0"/>
        <w:keepLines w:val="0"/>
        <w:pageBreakBefore w:val="0"/>
        <w:numPr>
          <w:ilvl w:val="0"/>
          <w:numId w:val="1"/>
        </w:numPr>
        <w:kinsoku/>
        <w:wordWrap/>
        <w:overflowPunct/>
        <w:topLinePunct w:val="0"/>
        <w:autoSpaceDE/>
        <w:autoSpaceDN/>
        <w:bidi w:val="0"/>
        <w:spacing w:line="360" w:lineRule="auto"/>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7寸液晶触摸显示屏上可直观显示硬度值，换算硬度，试验方法，试验力，亮度、保荷时间，测量次数，统计数据，上下限测量范围、测试时间等试验过程直观明了；</w:t>
      </w:r>
    </w:p>
    <w:p>
      <w:pPr>
        <w:keepNext w:val="0"/>
        <w:keepLines w:val="0"/>
        <w:pageBreakBefore w:val="0"/>
        <w:numPr>
          <w:ilvl w:val="0"/>
          <w:numId w:val="1"/>
        </w:numPr>
        <w:kinsoku/>
        <w:wordWrap/>
        <w:overflowPunct/>
        <w:topLinePunct w:val="0"/>
        <w:autoSpaceDE/>
        <w:autoSpaceDN/>
        <w:bidi w:val="0"/>
        <w:spacing w:line="360" w:lineRule="auto"/>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系统自带校准功能，可手动调整输入误差校准仪器；</w:t>
      </w:r>
    </w:p>
    <w:p>
      <w:pPr>
        <w:keepNext w:val="0"/>
        <w:keepLines w:val="0"/>
        <w:pageBreakBefore w:val="0"/>
        <w:numPr>
          <w:ilvl w:val="0"/>
          <w:numId w:val="1"/>
        </w:numPr>
        <w:kinsoku/>
        <w:wordWrap/>
        <w:overflowPunct/>
        <w:topLinePunct w:val="0"/>
        <w:autoSpaceDE/>
        <w:autoSpaceDN/>
        <w:bidi w:val="0"/>
        <w:spacing w:line="360" w:lineRule="auto"/>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光学系统亮度可调范围：0-100；</w:t>
      </w:r>
    </w:p>
    <w:p>
      <w:pPr>
        <w:keepNext w:val="0"/>
        <w:keepLines w:val="0"/>
        <w:pageBreakBefore w:val="0"/>
        <w:numPr>
          <w:ilvl w:val="0"/>
          <w:numId w:val="1"/>
        </w:numPr>
        <w:kinsoku/>
        <w:wordWrap/>
        <w:overflowPunct/>
        <w:topLinePunct w:val="0"/>
        <w:autoSpaceDE/>
        <w:autoSpaceDN/>
        <w:bidi w:val="0"/>
        <w:spacing w:line="360" w:lineRule="auto"/>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可存储最大100组测试数据；</w:t>
      </w:r>
    </w:p>
    <w:p>
      <w:pPr>
        <w:keepNext w:val="0"/>
        <w:keepLines w:val="0"/>
        <w:pageBreakBefore w:val="0"/>
        <w:numPr>
          <w:ilvl w:val="0"/>
          <w:numId w:val="1"/>
        </w:numPr>
        <w:kinsoku/>
        <w:wordWrap/>
        <w:overflowPunct/>
        <w:topLinePunct w:val="0"/>
        <w:autoSpaceDE/>
        <w:autoSpaceDN/>
        <w:bidi w:val="0"/>
        <w:spacing w:line="360" w:lineRule="auto"/>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试验力单位可以手动选择相互转换，转换单位为：（Kgf，N）</w:t>
      </w:r>
    </w:p>
    <w:p>
      <w:pPr>
        <w:keepNext w:val="0"/>
        <w:keepLines w:val="0"/>
        <w:pageBreakBefore w:val="0"/>
        <w:numPr>
          <w:ilvl w:val="0"/>
          <w:numId w:val="1"/>
        </w:numPr>
        <w:kinsoku/>
        <w:wordWrap/>
        <w:overflowPunct/>
        <w:topLinePunct w:val="0"/>
        <w:autoSpaceDE/>
        <w:autoSpaceDN/>
        <w:bidi w:val="0"/>
        <w:spacing w:line="360" w:lineRule="auto"/>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可同时显示：最大值，最小值，平均值，最大误差，样本差；</w:t>
      </w:r>
    </w:p>
    <w:p>
      <w:pPr>
        <w:keepNext w:val="0"/>
        <w:keepLines w:val="0"/>
        <w:pageBreakBefore w:val="0"/>
        <w:numPr>
          <w:ilvl w:val="0"/>
          <w:numId w:val="1"/>
        </w:numPr>
        <w:kinsoku/>
        <w:wordWrap/>
        <w:overflowPunct/>
        <w:topLinePunct w:val="0"/>
        <w:autoSpaceDE/>
        <w:autoSpaceDN/>
        <w:bidi w:val="0"/>
        <w:spacing w:line="360" w:lineRule="auto"/>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主界面可同时显示4个转换标尺，并可切换：国家标准，美标以及国际标准，共可转换18个测量标尺：HRA、HRB、HRC、HRD、HRE、HRF、HRG、HRH、HRK、HR15N、HR30N、HR45N、HR15T、HR30T、HR45T、HV、HK、HBW；</w:t>
      </w:r>
    </w:p>
    <w:p>
      <w:pPr>
        <w:keepNext w:val="0"/>
        <w:keepLines w:val="0"/>
        <w:pageBreakBefore w:val="0"/>
        <w:numPr>
          <w:ilvl w:val="0"/>
          <w:numId w:val="1"/>
        </w:numPr>
        <w:kinsoku/>
        <w:wordWrap/>
        <w:overflowPunct/>
        <w:topLinePunct w:val="0"/>
        <w:autoSpaceDE/>
        <w:autoSpaceDN/>
        <w:bidi w:val="0"/>
        <w:spacing w:line="360" w:lineRule="auto"/>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双物镜都可直接测量硬度，</w:t>
      </w:r>
    </w:p>
    <w:p>
      <w:pPr>
        <w:keepNext w:val="0"/>
        <w:keepLines w:val="0"/>
        <w:pageBreakBefore w:val="0"/>
        <w:kinsoku/>
        <w:wordWrap/>
        <w:overflowPunct/>
        <w:topLinePunct w:val="0"/>
        <w:autoSpaceDE/>
        <w:autoSpaceDN/>
        <w:bidi w:val="0"/>
        <w:spacing w:line="360" w:lineRule="auto"/>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10、带对角线长度记忆功能，关机后对角线长度自动记忆，开机后直接测量，无需二次清零。</w:t>
      </w:r>
    </w:p>
    <w:p>
      <w:pPr>
        <w:keepNext w:val="0"/>
        <w:keepLines w:val="0"/>
        <w:pageBreakBefore w:val="0"/>
        <w:kinsoku/>
        <w:wordWrap/>
        <w:overflowPunct/>
        <w:topLinePunct w:val="0"/>
        <w:autoSpaceDE/>
        <w:autoSpaceDN/>
        <w:bidi w:val="0"/>
        <w:spacing w:line="360" w:lineRule="auto"/>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11、可设置上下限测量范围，在主测量界面显示；</w:t>
      </w:r>
    </w:p>
    <w:p>
      <w:pPr>
        <w:keepNext w:val="0"/>
        <w:keepLines w:val="0"/>
        <w:pageBreakBefore w:val="0"/>
        <w:kinsoku/>
        <w:wordWrap/>
        <w:overflowPunct/>
        <w:topLinePunct w:val="0"/>
        <w:autoSpaceDE/>
        <w:autoSpaceDN/>
        <w:bidi w:val="0"/>
        <w:spacing w:line="360" w:lineRule="auto"/>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12、测量标尺可转换成HK努氏硬度；</w:t>
      </w:r>
    </w:p>
    <w:p>
      <w:pPr>
        <w:keepNext w:val="0"/>
        <w:keepLines w:val="0"/>
        <w:pageBreakBefore w:val="0"/>
        <w:kinsoku/>
        <w:wordWrap/>
        <w:overflowPunct/>
        <w:topLinePunct w:val="0"/>
        <w:autoSpaceDE/>
        <w:autoSpaceDN/>
        <w:bidi w:val="0"/>
        <w:spacing w:line="360" w:lineRule="auto"/>
        <w:textAlignment w:val="auto"/>
        <w:rPr>
          <w:rFonts w:hint="eastAsia" w:ascii="宋体" w:hAnsi="宋体"/>
          <w:sz w:val="24"/>
          <w:szCs w:val="24"/>
        </w:rPr>
      </w:pPr>
      <w:r>
        <w:rPr>
          <w:rFonts w:hint="eastAsia" w:ascii="宋体" w:hAnsi="宋体"/>
          <w:sz w:val="24"/>
          <w:szCs w:val="24"/>
        </w:rPr>
        <w:t>13、操作系统可中英文转换；</w:t>
      </w:r>
    </w:p>
    <w:p>
      <w:pPr>
        <w:keepNext w:val="0"/>
        <w:keepLines w:val="0"/>
        <w:pageBreakBefore w:val="0"/>
        <w:kinsoku/>
        <w:wordWrap/>
        <w:overflowPunct/>
        <w:topLinePunct w:val="0"/>
        <w:autoSpaceDE/>
        <w:autoSpaceDN/>
        <w:bidi w:val="0"/>
        <w:spacing w:line="360" w:lineRule="auto"/>
        <w:textAlignment w:val="auto"/>
        <w:rPr>
          <w:rFonts w:hint="eastAsia" w:ascii="宋体" w:hAnsi="宋体"/>
          <w:sz w:val="24"/>
          <w:szCs w:val="24"/>
        </w:rPr>
      </w:pPr>
      <w:r>
        <w:rPr>
          <w:rFonts w:hint="eastAsia" w:ascii="宋体" w:hAnsi="宋体"/>
          <w:sz w:val="24"/>
          <w:szCs w:val="24"/>
        </w:rPr>
        <w:t>14、可选配内置打印机，测试数据也可通过USB输出至U盘进行保存分析；</w:t>
      </w:r>
    </w:p>
    <w:p>
      <w:pPr>
        <w:keepNext w:val="0"/>
        <w:keepLines w:val="0"/>
        <w:pageBreakBefore w:val="0"/>
        <w:kinsoku/>
        <w:wordWrap/>
        <w:overflowPunct/>
        <w:topLinePunct w:val="0"/>
        <w:autoSpaceDE/>
        <w:autoSpaceDN/>
        <w:bidi w:val="0"/>
        <w:spacing w:line="360" w:lineRule="auto"/>
        <w:textAlignment w:val="auto"/>
        <w:rPr>
          <w:rFonts w:hint="eastAsia" w:ascii="宋体" w:hAnsi="宋体"/>
          <w:sz w:val="24"/>
          <w:szCs w:val="24"/>
        </w:rPr>
      </w:pPr>
      <w:r>
        <w:rPr>
          <w:rFonts w:hint="eastAsia" w:ascii="宋体" w:hAnsi="宋体"/>
          <w:sz w:val="24"/>
          <w:szCs w:val="24"/>
        </w:rPr>
        <w:t>15、HVST-1000Z机型可现实：测量长度直接确认得出硬度值；</w:t>
      </w:r>
    </w:p>
    <w:p>
      <w:pPr>
        <w:keepNext w:val="0"/>
        <w:keepLines w:val="0"/>
        <w:pageBreakBefore w:val="0"/>
        <w:kinsoku/>
        <w:wordWrap/>
        <w:overflowPunct/>
        <w:topLinePunct w:val="0"/>
        <w:autoSpaceDE/>
        <w:autoSpaceDN/>
        <w:bidi w:val="0"/>
        <w:spacing w:line="360" w:lineRule="auto"/>
        <w:textAlignment w:val="auto"/>
        <w:rPr>
          <w:rFonts w:hint="eastAsia" w:ascii="宋体" w:hAnsi="宋体"/>
          <w:sz w:val="24"/>
          <w:szCs w:val="24"/>
        </w:rPr>
      </w:pPr>
      <w:r>
        <w:rPr>
          <w:rFonts w:hint="eastAsia" w:ascii="宋体" w:hAnsi="宋体"/>
          <w:sz w:val="24"/>
          <w:szCs w:val="24"/>
        </w:rPr>
        <w:t>16、HVST-1000Z机型可实现：观察—测试—测量的位置切换由自动转塔完成</w:t>
      </w:r>
    </w:p>
    <w:p>
      <w:pPr>
        <w:keepNext w:val="0"/>
        <w:keepLines w:val="0"/>
        <w:pageBreakBefore w:val="0"/>
        <w:kinsoku/>
        <w:wordWrap/>
        <w:overflowPunct/>
        <w:topLinePunct w:val="0"/>
        <w:autoSpaceDE/>
        <w:autoSpaceDN/>
        <w:bidi w:val="0"/>
        <w:spacing w:line="360" w:lineRule="auto"/>
        <w:textAlignment w:val="auto"/>
        <w:rPr>
          <w:rFonts w:hint="eastAsia" w:ascii="宋体" w:hAnsi="宋体"/>
          <w:sz w:val="24"/>
          <w:szCs w:val="24"/>
        </w:rPr>
      </w:pPr>
      <w:r>
        <w:rPr>
          <w:rFonts w:hint="eastAsia" w:ascii="宋体" w:hAnsi="宋体"/>
          <w:bCs/>
          <w:sz w:val="24"/>
          <w:szCs w:val="24"/>
        </w:rPr>
        <w:t>17、铸铝壳体一次成型结构稳</w:t>
      </w:r>
      <w:r>
        <w:rPr>
          <w:rFonts w:hint="eastAsia" w:ascii="宋体" w:hAnsi="宋体"/>
          <w:sz w:val="24"/>
          <w:szCs w:val="24"/>
        </w:rPr>
        <w:t>定不变形，</w:t>
      </w:r>
      <w:r>
        <w:rPr>
          <w:rFonts w:hint="eastAsia" w:ascii="宋体" w:hAnsi="宋体"/>
          <w:bCs/>
          <w:sz w:val="24"/>
          <w:szCs w:val="24"/>
        </w:rPr>
        <w:t>纯白汽车烤漆档次高</w:t>
      </w:r>
      <w:r>
        <w:rPr>
          <w:rFonts w:hint="eastAsia" w:ascii="宋体" w:hAnsi="宋体"/>
          <w:sz w:val="24"/>
          <w:szCs w:val="24"/>
        </w:rPr>
        <w:t>，抗划伤能力强，使用多年依然光亮如新；</w:t>
      </w:r>
    </w:p>
    <w:p>
      <w:pPr>
        <w:keepNext w:val="0"/>
        <w:keepLines w:val="0"/>
        <w:pageBreakBefore w:val="0"/>
        <w:kinsoku/>
        <w:wordWrap/>
        <w:overflowPunct/>
        <w:topLinePunct w:val="0"/>
        <w:autoSpaceDE/>
        <w:autoSpaceDN/>
        <w:bidi w:val="0"/>
        <w:spacing w:line="360" w:lineRule="auto"/>
        <w:textAlignment w:val="auto"/>
        <w:rPr>
          <w:rFonts w:hint="eastAsia" w:ascii="宋体" w:hAnsi="宋体"/>
          <w:sz w:val="24"/>
          <w:szCs w:val="24"/>
        </w:rPr>
      </w:pPr>
      <w:r>
        <w:rPr>
          <w:rFonts w:hint="eastAsia" w:ascii="宋体" w:hAnsi="宋体"/>
          <w:sz w:val="24"/>
          <w:szCs w:val="24"/>
        </w:rPr>
        <w:t>18、我司具备自行研发设计，生产加工的能力，我们的机器终身提供配件更换和维护升级服务；</w:t>
      </w:r>
    </w:p>
    <w:p>
      <w:pPr>
        <w:keepNext w:val="0"/>
        <w:keepLines w:val="0"/>
        <w:pageBreakBefore w:val="0"/>
        <w:kinsoku/>
        <w:wordWrap/>
        <w:overflowPunct/>
        <w:topLinePunct w:val="0"/>
        <w:autoSpaceDE/>
        <w:autoSpaceDN/>
        <w:bidi w:val="0"/>
        <w:spacing w:line="360" w:lineRule="auto"/>
        <w:textAlignment w:val="auto"/>
        <w:rPr>
          <w:rFonts w:hint="eastAsia"/>
          <w:b/>
          <w:bCs/>
          <w:sz w:val="24"/>
          <w:szCs w:val="24"/>
        </w:rPr>
      </w:pPr>
      <w:r>
        <w:rPr>
          <w:rFonts w:hint="eastAsia" w:ascii="宋体" w:hAnsi="宋体"/>
          <w:b/>
          <w:bCs/>
          <w:sz w:val="24"/>
          <w:szCs w:val="24"/>
        </w:rPr>
        <w:t>主要用途和适用范围：</w:t>
      </w:r>
    </w:p>
    <w:p>
      <w:pPr>
        <w:keepNext w:val="0"/>
        <w:keepLines w:val="0"/>
        <w:pageBreakBefore w:val="0"/>
        <w:numPr>
          <w:ilvl w:val="0"/>
          <w:numId w:val="2"/>
        </w:numPr>
        <w:kinsoku/>
        <w:wordWrap/>
        <w:overflowPunct/>
        <w:topLinePunct w:val="0"/>
        <w:autoSpaceDE/>
        <w:autoSpaceDN/>
        <w:bidi w:val="0"/>
        <w:spacing w:line="360" w:lineRule="auto"/>
        <w:textAlignment w:val="auto"/>
        <w:rPr>
          <w:rFonts w:hint="eastAsia" w:ascii="宋体" w:hAnsi="宋体"/>
          <w:sz w:val="24"/>
          <w:szCs w:val="24"/>
        </w:rPr>
      </w:pPr>
      <w:r>
        <w:rPr>
          <w:rFonts w:hint="eastAsia" w:ascii="宋体" w:hAnsi="宋体"/>
          <w:sz w:val="24"/>
          <w:szCs w:val="24"/>
        </w:rPr>
        <w:t>钢铁，有色金属，金属箔，硬质合金，金属薄板，微观组织</w:t>
      </w:r>
    </w:p>
    <w:p>
      <w:pPr>
        <w:keepNext w:val="0"/>
        <w:keepLines w:val="0"/>
        <w:pageBreakBefore w:val="0"/>
        <w:numPr>
          <w:ilvl w:val="0"/>
          <w:numId w:val="2"/>
        </w:numPr>
        <w:kinsoku/>
        <w:wordWrap/>
        <w:overflowPunct/>
        <w:topLinePunct w:val="0"/>
        <w:autoSpaceDE/>
        <w:autoSpaceDN/>
        <w:bidi w:val="0"/>
        <w:spacing w:line="360" w:lineRule="auto"/>
        <w:textAlignment w:val="auto"/>
        <w:rPr>
          <w:rFonts w:hint="eastAsia" w:ascii="宋体" w:hAnsi="宋体"/>
          <w:sz w:val="24"/>
          <w:szCs w:val="24"/>
        </w:rPr>
      </w:pPr>
      <w:r>
        <w:rPr>
          <w:rFonts w:hint="eastAsia" w:ascii="宋体" w:hAnsi="宋体"/>
          <w:sz w:val="24"/>
          <w:szCs w:val="24"/>
        </w:rPr>
        <w:t>渗碳，</w:t>
      </w:r>
      <w:r>
        <w:rPr>
          <w:spacing w:val="8"/>
          <w:sz w:val="24"/>
          <w:szCs w:val="24"/>
        </w:rPr>
        <w:t>渗氮</w:t>
      </w:r>
      <w:r>
        <w:rPr>
          <w:rFonts w:hint="eastAsia"/>
          <w:spacing w:val="8"/>
          <w:sz w:val="24"/>
          <w:szCs w:val="24"/>
        </w:rPr>
        <w:t>和脱碳层，</w:t>
      </w:r>
      <w:r>
        <w:rPr>
          <w:rFonts w:hint="eastAsia" w:ascii="宋体" w:hAnsi="宋体"/>
          <w:sz w:val="24"/>
          <w:szCs w:val="24"/>
        </w:rPr>
        <w:t>表面硬化层，电镀层，涂层</w:t>
      </w:r>
    </w:p>
    <w:p>
      <w:pPr>
        <w:keepNext w:val="0"/>
        <w:keepLines w:val="0"/>
        <w:pageBreakBefore w:val="0"/>
        <w:numPr>
          <w:ilvl w:val="0"/>
          <w:numId w:val="2"/>
        </w:numPr>
        <w:kinsoku/>
        <w:wordWrap/>
        <w:overflowPunct/>
        <w:topLinePunct w:val="0"/>
        <w:autoSpaceDE/>
        <w:autoSpaceDN/>
        <w:bidi w:val="0"/>
        <w:spacing w:line="360" w:lineRule="auto"/>
        <w:textAlignment w:val="auto"/>
        <w:rPr>
          <w:rFonts w:hint="eastAsia"/>
          <w:bCs/>
          <w:sz w:val="24"/>
          <w:szCs w:val="24"/>
        </w:rPr>
      </w:pPr>
      <w:r>
        <w:rPr>
          <w:rFonts w:hint="eastAsia" w:ascii="宋体" w:hAnsi="宋体"/>
          <w:sz w:val="24"/>
          <w:szCs w:val="24"/>
        </w:rPr>
        <w:t>玻璃，晶片，</w:t>
      </w:r>
    </w:p>
    <w:p>
      <w:pPr>
        <w:rPr>
          <w:rFonts w:hint="eastAsia"/>
          <w:bCs/>
        </w:rPr>
      </w:pPr>
      <w:r>
        <w:rPr>
          <w:rFonts w:hint="eastAsia" w:ascii="宋体" w:hAnsi="宋体"/>
          <w:b/>
          <w:bCs/>
          <w:szCs w:val="21"/>
        </w:rPr>
        <w:t>技术参数：</w:t>
      </w:r>
    </w:p>
    <w:tbl>
      <w:tblPr>
        <w:tblStyle w:val="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7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68" w:type="dxa"/>
            <w:shd w:val="clear" w:color="auto" w:fill="DEEBF6" w:themeFill="accent1" w:themeFillTint="32"/>
            <w:noWrap w:val="0"/>
            <w:vAlign w:val="top"/>
          </w:tcPr>
          <w:p>
            <w:pPr>
              <w:jc w:val="left"/>
              <w:rPr>
                <w:spacing w:val="8"/>
                <w:sz w:val="24"/>
                <w:szCs w:val="24"/>
              </w:rPr>
            </w:pPr>
            <w:r>
              <w:rPr>
                <w:rFonts w:hint="eastAsia"/>
                <w:spacing w:val="8"/>
                <w:sz w:val="24"/>
                <w:szCs w:val="24"/>
              </w:rPr>
              <w:t>参数名称</w:t>
            </w:r>
          </w:p>
        </w:tc>
        <w:tc>
          <w:tcPr>
            <w:tcW w:w="7088" w:type="dxa"/>
            <w:shd w:val="clear" w:color="auto" w:fill="DEEBF6" w:themeFill="accent1" w:themeFillTint="32"/>
            <w:noWrap w:val="0"/>
            <w:vAlign w:val="top"/>
          </w:tcPr>
          <w:p>
            <w:pPr>
              <w:jc w:val="center"/>
              <w:rPr>
                <w:spacing w:val="8"/>
                <w:sz w:val="24"/>
                <w:szCs w:val="24"/>
              </w:rPr>
            </w:pPr>
            <w:r>
              <w:rPr>
                <w:rFonts w:hint="eastAsia"/>
                <w:spacing w:val="8"/>
                <w:sz w:val="24"/>
                <w:szCs w:val="24"/>
              </w:rPr>
              <w:t>参数数据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jc w:val="left"/>
              <w:rPr>
                <w:spacing w:val="8"/>
                <w:sz w:val="24"/>
                <w:szCs w:val="24"/>
              </w:rPr>
            </w:pPr>
            <w:r>
              <w:rPr>
                <w:rFonts w:hint="eastAsia"/>
                <w:spacing w:val="8"/>
                <w:sz w:val="24"/>
                <w:szCs w:val="24"/>
              </w:rPr>
              <w:t>显微硬度标尺</w:t>
            </w:r>
          </w:p>
        </w:tc>
        <w:tc>
          <w:tcPr>
            <w:tcW w:w="7088" w:type="dxa"/>
            <w:noWrap w:val="0"/>
            <w:vAlign w:val="top"/>
          </w:tcPr>
          <w:p>
            <w:pPr>
              <w:rPr>
                <w:spacing w:val="8"/>
                <w:sz w:val="24"/>
                <w:szCs w:val="24"/>
              </w:rPr>
            </w:pPr>
            <w:r>
              <w:rPr>
                <w:spacing w:val="8"/>
                <w:sz w:val="24"/>
                <w:szCs w:val="24"/>
              </w:rPr>
              <w:t>HV0.01,HV0.025,HV0.05,HV0.1,HV0.2,HV0.3,HV0.5,HV1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shd w:val="clear" w:color="auto" w:fill="DEEBF6" w:themeFill="accent1" w:themeFillTint="32"/>
            <w:noWrap w:val="0"/>
            <w:vAlign w:val="top"/>
          </w:tcPr>
          <w:p>
            <w:pPr>
              <w:jc w:val="left"/>
              <w:rPr>
                <w:spacing w:val="8"/>
                <w:sz w:val="24"/>
                <w:szCs w:val="24"/>
              </w:rPr>
            </w:pPr>
            <w:r>
              <w:rPr>
                <w:rFonts w:hint="eastAsia"/>
                <w:spacing w:val="8"/>
                <w:sz w:val="24"/>
                <w:szCs w:val="24"/>
              </w:rPr>
              <w:t>显示</w:t>
            </w:r>
          </w:p>
        </w:tc>
        <w:tc>
          <w:tcPr>
            <w:tcW w:w="7088" w:type="dxa"/>
            <w:shd w:val="clear" w:color="auto" w:fill="DEEBF6" w:themeFill="accent1" w:themeFillTint="32"/>
            <w:noWrap w:val="0"/>
            <w:vAlign w:val="top"/>
          </w:tcPr>
          <w:p>
            <w:pPr>
              <w:rPr>
                <w:spacing w:val="8"/>
                <w:sz w:val="24"/>
                <w:szCs w:val="24"/>
              </w:rPr>
            </w:pPr>
            <w:r>
              <w:rPr>
                <w:rFonts w:hint="eastAsia" w:ascii="宋体" w:hAnsi="宋体"/>
                <w:sz w:val="24"/>
                <w:szCs w:val="24"/>
              </w:rPr>
              <w:t>7寸液晶触摸显示屏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jc w:val="left"/>
              <w:rPr>
                <w:spacing w:val="8"/>
                <w:sz w:val="24"/>
                <w:szCs w:val="24"/>
              </w:rPr>
            </w:pPr>
            <w:r>
              <w:rPr>
                <w:rFonts w:hint="eastAsia"/>
                <w:spacing w:val="8"/>
                <w:sz w:val="24"/>
                <w:szCs w:val="24"/>
              </w:rPr>
              <w:t>试验力（gf）</w:t>
            </w:r>
          </w:p>
        </w:tc>
        <w:tc>
          <w:tcPr>
            <w:tcW w:w="7088" w:type="dxa"/>
            <w:noWrap w:val="0"/>
            <w:vAlign w:val="top"/>
          </w:tcPr>
          <w:p>
            <w:pPr>
              <w:rPr>
                <w:spacing w:val="8"/>
                <w:sz w:val="24"/>
                <w:szCs w:val="24"/>
              </w:rPr>
            </w:pPr>
            <w:r>
              <w:rPr>
                <w:rFonts w:hint="eastAsia"/>
                <w:spacing w:val="8"/>
                <w:sz w:val="24"/>
                <w:szCs w:val="24"/>
              </w:rPr>
              <w:t>10，25，50，100，200，300，500，1000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shd w:val="clear" w:color="auto" w:fill="DEEBF6" w:themeFill="accent1" w:themeFillTint="32"/>
            <w:noWrap w:val="0"/>
            <w:vAlign w:val="top"/>
          </w:tcPr>
          <w:p>
            <w:pPr>
              <w:jc w:val="left"/>
              <w:rPr>
                <w:spacing w:val="8"/>
                <w:sz w:val="24"/>
                <w:szCs w:val="24"/>
              </w:rPr>
            </w:pPr>
            <w:r>
              <w:rPr>
                <w:rFonts w:hint="eastAsia"/>
                <w:spacing w:val="8"/>
                <w:sz w:val="24"/>
                <w:szCs w:val="24"/>
              </w:rPr>
              <w:t>加载控制</w:t>
            </w:r>
          </w:p>
        </w:tc>
        <w:tc>
          <w:tcPr>
            <w:tcW w:w="7088" w:type="dxa"/>
            <w:shd w:val="clear" w:color="auto" w:fill="DEEBF6" w:themeFill="accent1" w:themeFillTint="32"/>
            <w:noWrap w:val="0"/>
            <w:vAlign w:val="top"/>
          </w:tcPr>
          <w:p>
            <w:pPr>
              <w:rPr>
                <w:spacing w:val="8"/>
                <w:sz w:val="24"/>
                <w:szCs w:val="24"/>
              </w:rPr>
            </w:pPr>
            <w:r>
              <w:rPr>
                <w:rFonts w:hint="eastAsia"/>
                <w:spacing w:val="8"/>
                <w:sz w:val="24"/>
                <w:szCs w:val="24"/>
              </w:rPr>
              <w:t>自动（加载/保持/卸载）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jc w:val="left"/>
              <w:rPr>
                <w:spacing w:val="8"/>
                <w:sz w:val="24"/>
                <w:szCs w:val="24"/>
              </w:rPr>
            </w:pPr>
            <w:r>
              <w:rPr>
                <w:rFonts w:hint="eastAsia"/>
                <w:spacing w:val="8"/>
                <w:sz w:val="24"/>
                <w:szCs w:val="24"/>
              </w:rPr>
              <w:t>试验力保持时间(s)</w:t>
            </w:r>
          </w:p>
        </w:tc>
        <w:tc>
          <w:tcPr>
            <w:tcW w:w="7088" w:type="dxa"/>
            <w:noWrap w:val="0"/>
            <w:vAlign w:val="top"/>
          </w:tcPr>
          <w:p>
            <w:pPr>
              <w:rPr>
                <w:spacing w:val="8"/>
                <w:sz w:val="24"/>
                <w:szCs w:val="24"/>
              </w:rPr>
            </w:pPr>
            <w:r>
              <w:rPr>
                <w:rFonts w:hint="eastAsia"/>
                <w:spacing w:val="8"/>
                <w:sz w:val="24"/>
                <w:szCs w:val="24"/>
              </w:rPr>
              <w:t>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shd w:val="clear" w:color="auto" w:fill="DEEBF6" w:themeFill="accent1" w:themeFillTint="32"/>
            <w:noWrap w:val="0"/>
            <w:vAlign w:val="top"/>
          </w:tcPr>
          <w:p>
            <w:pPr>
              <w:jc w:val="left"/>
              <w:rPr>
                <w:spacing w:val="8"/>
                <w:sz w:val="24"/>
                <w:szCs w:val="24"/>
              </w:rPr>
            </w:pPr>
            <w:r>
              <w:rPr>
                <w:rFonts w:hint="eastAsia"/>
                <w:spacing w:val="8"/>
                <w:sz w:val="24"/>
                <w:szCs w:val="24"/>
              </w:rPr>
              <w:t>试验力选择</w:t>
            </w:r>
          </w:p>
        </w:tc>
        <w:tc>
          <w:tcPr>
            <w:tcW w:w="7088" w:type="dxa"/>
            <w:shd w:val="clear" w:color="auto" w:fill="DEEBF6" w:themeFill="accent1" w:themeFillTint="32"/>
            <w:noWrap w:val="0"/>
            <w:vAlign w:val="top"/>
          </w:tcPr>
          <w:p>
            <w:pPr>
              <w:rPr>
                <w:spacing w:val="8"/>
                <w:sz w:val="24"/>
                <w:szCs w:val="24"/>
              </w:rPr>
            </w:pPr>
            <w:r>
              <w:rPr>
                <w:rFonts w:hint="eastAsia"/>
                <w:spacing w:val="8"/>
                <w:sz w:val="24"/>
                <w:szCs w:val="24"/>
              </w:rPr>
              <w:t>外置式选力旋钮，试验力自动显示在</w:t>
            </w:r>
            <w:r>
              <w:rPr>
                <w:rFonts w:hint="eastAsia" w:ascii="宋体" w:hAnsi="宋体"/>
                <w:sz w:val="24"/>
                <w:szCs w:val="24"/>
              </w:rPr>
              <w:t>7寸液晶触摸显示屏</w:t>
            </w:r>
            <w:r>
              <w:rPr>
                <w:rFonts w:hint="eastAsia"/>
                <w:spacing w:val="8"/>
                <w:sz w:val="24"/>
                <w:szCs w:val="24"/>
              </w:rPr>
              <w:t>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物镜放大倍数</w:t>
            </w:r>
          </w:p>
        </w:tc>
        <w:tc>
          <w:tcPr>
            <w:tcW w:w="7088" w:type="dxa"/>
            <w:noWrap w:val="0"/>
            <w:vAlign w:val="top"/>
          </w:tcPr>
          <w:p>
            <w:pPr>
              <w:rPr>
                <w:spacing w:val="8"/>
                <w:sz w:val="24"/>
                <w:szCs w:val="24"/>
              </w:rPr>
            </w:pPr>
            <w:r>
              <w:rPr>
                <w:rFonts w:hint="eastAsia"/>
                <w:spacing w:val="8"/>
                <w:sz w:val="24"/>
                <w:szCs w:val="24"/>
              </w:rPr>
              <w:t>10×，40×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shd w:val="clear" w:color="auto" w:fill="DEEBF6" w:themeFill="accent1" w:themeFillTint="32"/>
            <w:noWrap w:val="0"/>
            <w:vAlign w:val="top"/>
          </w:tcPr>
          <w:p>
            <w:pPr>
              <w:rPr>
                <w:spacing w:val="8"/>
                <w:sz w:val="24"/>
                <w:szCs w:val="24"/>
              </w:rPr>
            </w:pPr>
            <w:r>
              <w:rPr>
                <w:rFonts w:hint="eastAsia"/>
                <w:spacing w:val="8"/>
                <w:sz w:val="24"/>
                <w:szCs w:val="24"/>
              </w:rPr>
              <w:t>光通道</w:t>
            </w:r>
          </w:p>
        </w:tc>
        <w:tc>
          <w:tcPr>
            <w:tcW w:w="7088" w:type="dxa"/>
            <w:shd w:val="clear" w:color="auto" w:fill="DEEBF6" w:themeFill="accent1" w:themeFillTint="32"/>
            <w:noWrap w:val="0"/>
            <w:vAlign w:val="top"/>
          </w:tcPr>
          <w:p>
            <w:pPr>
              <w:rPr>
                <w:spacing w:val="8"/>
                <w:sz w:val="24"/>
                <w:szCs w:val="24"/>
              </w:rPr>
            </w:pPr>
            <w:r>
              <w:rPr>
                <w:rFonts w:hint="eastAsia"/>
                <w:spacing w:val="8"/>
                <w:sz w:val="24"/>
                <w:szCs w:val="24"/>
              </w:rPr>
              <w:t>双光通道（目镜及CCD摄象通道）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光学系统</w:t>
            </w:r>
            <w:r>
              <w:rPr>
                <w:rFonts w:hint="eastAsia"/>
                <w:sz w:val="24"/>
                <w:szCs w:val="24"/>
              </w:rPr>
              <w:t>（双光学通道，无需切换）</w:t>
            </w:r>
          </w:p>
        </w:tc>
        <w:tc>
          <w:tcPr>
            <w:tcW w:w="7088" w:type="dxa"/>
            <w:noWrap w:val="0"/>
            <w:vAlign w:val="top"/>
          </w:tcPr>
          <w:p>
            <w:pPr>
              <w:rPr>
                <w:rFonts w:hint="eastAsia"/>
                <w:spacing w:val="8"/>
                <w:sz w:val="24"/>
                <w:szCs w:val="24"/>
              </w:rPr>
            </w:pPr>
            <w:r>
              <w:rPr>
                <w:rFonts w:hint="eastAsia"/>
                <w:spacing w:val="8"/>
                <w:sz w:val="24"/>
                <w:szCs w:val="24"/>
              </w:rPr>
              <w:t>1、</w:t>
            </w:r>
            <w:r>
              <w:rPr>
                <w:rFonts w:hint="eastAsia" w:ascii="宋体" w:hAnsi="宋体"/>
                <w:sz w:val="24"/>
                <w:szCs w:val="24"/>
              </w:rPr>
              <w:t>自动数字式编码器</w:t>
            </w:r>
            <w:r>
              <w:rPr>
                <w:rFonts w:hint="eastAsia"/>
                <w:spacing w:val="8"/>
                <w:sz w:val="24"/>
                <w:szCs w:val="24"/>
              </w:rPr>
              <w:t>；2、总放大倍数(μm)：100×（观察）, 400×（测量）；</w:t>
            </w:r>
          </w:p>
          <w:p>
            <w:pPr>
              <w:rPr>
                <w:spacing w:val="8"/>
                <w:sz w:val="24"/>
                <w:szCs w:val="24"/>
              </w:rPr>
            </w:pPr>
            <w:r>
              <w:rPr>
                <w:rFonts w:hint="eastAsia"/>
                <w:spacing w:val="8"/>
                <w:sz w:val="24"/>
                <w:szCs w:val="24"/>
              </w:rPr>
              <w:t>可选配15X目镜，总放大倍数为:150X（观察)， 600X（测量）</w:t>
            </w:r>
          </w:p>
          <w:p>
            <w:pPr>
              <w:rPr>
                <w:spacing w:val="8"/>
                <w:sz w:val="24"/>
                <w:szCs w:val="24"/>
              </w:rPr>
            </w:pPr>
            <w:r>
              <w:rPr>
                <w:rFonts w:hint="eastAsia"/>
                <w:spacing w:val="8"/>
                <w:sz w:val="24"/>
                <w:szCs w:val="24"/>
              </w:rPr>
              <w:t>3、测量范围(μm)： 200；4、分辨率(μm)：0.01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shd w:val="clear" w:color="auto" w:fill="DEEBF6" w:themeFill="accent1" w:themeFillTint="32"/>
            <w:noWrap w:val="0"/>
            <w:vAlign w:val="top"/>
          </w:tcPr>
          <w:p>
            <w:pPr>
              <w:rPr>
                <w:spacing w:val="8"/>
                <w:sz w:val="24"/>
                <w:szCs w:val="24"/>
              </w:rPr>
            </w:pPr>
            <w:r>
              <w:rPr>
                <w:rFonts w:hint="eastAsia"/>
                <w:spacing w:val="8"/>
                <w:sz w:val="24"/>
                <w:szCs w:val="24"/>
              </w:rPr>
              <w:t>硬度测量范围</w:t>
            </w:r>
          </w:p>
        </w:tc>
        <w:tc>
          <w:tcPr>
            <w:tcW w:w="7088" w:type="dxa"/>
            <w:shd w:val="clear" w:color="auto" w:fill="DEEBF6" w:themeFill="accent1" w:themeFillTint="32"/>
            <w:noWrap w:val="0"/>
            <w:vAlign w:val="top"/>
          </w:tcPr>
          <w:p>
            <w:pPr>
              <w:rPr>
                <w:spacing w:val="8"/>
                <w:sz w:val="24"/>
                <w:szCs w:val="24"/>
              </w:rPr>
            </w:pPr>
            <w:r>
              <w:rPr>
                <w:spacing w:val="8"/>
                <w:sz w:val="24"/>
                <w:szCs w:val="24"/>
              </w:rPr>
              <w:t>(5-3000)HV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XY试台</w:t>
            </w:r>
          </w:p>
        </w:tc>
        <w:tc>
          <w:tcPr>
            <w:tcW w:w="7088" w:type="dxa"/>
            <w:noWrap w:val="0"/>
            <w:vAlign w:val="top"/>
          </w:tcPr>
          <w:p>
            <w:pPr>
              <w:jc w:val="left"/>
              <w:rPr>
                <w:spacing w:val="8"/>
                <w:sz w:val="24"/>
                <w:szCs w:val="24"/>
              </w:rPr>
            </w:pPr>
            <w:r>
              <w:rPr>
                <w:rFonts w:hint="eastAsia"/>
                <w:spacing w:val="8"/>
                <w:sz w:val="24"/>
                <w:szCs w:val="24"/>
              </w:rPr>
              <w:t>尺寸(mm):100×100   行程范围(mm):25×25    最小读数(mm):0.01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shd w:val="clear" w:color="auto" w:fill="DEEBF6" w:themeFill="accent1" w:themeFillTint="32"/>
            <w:noWrap w:val="0"/>
            <w:vAlign w:val="top"/>
          </w:tcPr>
          <w:p>
            <w:pPr>
              <w:rPr>
                <w:rFonts w:hint="eastAsia"/>
                <w:spacing w:val="8"/>
                <w:sz w:val="24"/>
                <w:szCs w:val="24"/>
              </w:rPr>
            </w:pPr>
            <w:r>
              <w:rPr>
                <w:rFonts w:hint="eastAsia"/>
                <w:spacing w:val="8"/>
                <w:sz w:val="24"/>
                <w:szCs w:val="24"/>
              </w:rPr>
              <w:t>数据输出（选配）</w:t>
            </w:r>
          </w:p>
        </w:tc>
        <w:tc>
          <w:tcPr>
            <w:tcW w:w="7088" w:type="dxa"/>
            <w:shd w:val="clear" w:color="auto" w:fill="DEEBF6" w:themeFill="accent1" w:themeFillTint="32"/>
            <w:noWrap w:val="0"/>
            <w:vAlign w:val="top"/>
          </w:tcPr>
          <w:p>
            <w:pPr>
              <w:jc w:val="left"/>
              <w:rPr>
                <w:rFonts w:hint="eastAsia"/>
                <w:spacing w:val="8"/>
                <w:sz w:val="24"/>
                <w:szCs w:val="24"/>
              </w:rPr>
            </w:pPr>
            <w:r>
              <w:rPr>
                <w:rFonts w:hint="eastAsia"/>
                <w:spacing w:val="8"/>
                <w:sz w:val="24"/>
                <w:szCs w:val="24"/>
              </w:rPr>
              <w:t>内置打印机，测试数据也可通过USB输出至U盘进行保存分析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试件最大高度</w:t>
            </w:r>
            <w:r>
              <w:rPr>
                <w:spacing w:val="8"/>
                <w:sz w:val="24"/>
                <w:szCs w:val="24"/>
              </w:rPr>
              <w:t>(mm)</w:t>
            </w:r>
          </w:p>
        </w:tc>
        <w:tc>
          <w:tcPr>
            <w:tcW w:w="7088" w:type="dxa"/>
            <w:noWrap w:val="0"/>
            <w:vAlign w:val="top"/>
          </w:tcPr>
          <w:p>
            <w:pPr>
              <w:rPr>
                <w:spacing w:val="8"/>
                <w:sz w:val="24"/>
                <w:szCs w:val="24"/>
              </w:rPr>
            </w:pPr>
            <w:r>
              <w:rPr>
                <w:rFonts w:hint="eastAsia"/>
                <w:spacing w:val="8"/>
                <w:sz w:val="24"/>
                <w:szCs w:val="24"/>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shd w:val="clear" w:color="auto" w:fill="DEEBF6" w:themeFill="accent1" w:themeFillTint="32"/>
            <w:noWrap w:val="0"/>
            <w:vAlign w:val="top"/>
          </w:tcPr>
          <w:p>
            <w:pPr>
              <w:rPr>
                <w:spacing w:val="8"/>
                <w:sz w:val="24"/>
                <w:szCs w:val="24"/>
              </w:rPr>
            </w:pPr>
            <w:r>
              <w:rPr>
                <w:rFonts w:hint="eastAsia"/>
                <w:spacing w:val="8"/>
                <w:sz w:val="24"/>
                <w:szCs w:val="24"/>
              </w:rPr>
              <w:t>试件最大宽度</w:t>
            </w:r>
            <w:r>
              <w:rPr>
                <w:spacing w:val="8"/>
                <w:sz w:val="24"/>
                <w:szCs w:val="24"/>
              </w:rPr>
              <w:t>(mm)</w:t>
            </w:r>
          </w:p>
        </w:tc>
        <w:tc>
          <w:tcPr>
            <w:tcW w:w="7088" w:type="dxa"/>
            <w:shd w:val="clear" w:color="auto" w:fill="DEEBF6" w:themeFill="accent1" w:themeFillTint="32"/>
            <w:noWrap w:val="0"/>
            <w:vAlign w:val="top"/>
          </w:tcPr>
          <w:p>
            <w:pPr>
              <w:rPr>
                <w:spacing w:val="8"/>
                <w:sz w:val="24"/>
                <w:szCs w:val="24"/>
              </w:rPr>
            </w:pPr>
            <w:r>
              <w:rPr>
                <w:rFonts w:hint="eastAsia"/>
                <w:spacing w:val="8"/>
                <w:sz w:val="24"/>
                <w:szCs w:val="24"/>
              </w:rPr>
              <w:t>85 (从压头中心线至机壁距离）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电源电压</w:t>
            </w:r>
          </w:p>
        </w:tc>
        <w:tc>
          <w:tcPr>
            <w:tcW w:w="7088" w:type="dxa"/>
            <w:noWrap w:val="0"/>
            <w:vAlign w:val="top"/>
          </w:tcPr>
          <w:p>
            <w:pPr>
              <w:rPr>
                <w:spacing w:val="8"/>
                <w:sz w:val="24"/>
                <w:szCs w:val="24"/>
              </w:rPr>
            </w:pPr>
            <w:r>
              <w:rPr>
                <w:spacing w:val="8"/>
                <w:sz w:val="24"/>
                <w:szCs w:val="24"/>
              </w:rPr>
              <w:t>AC220V/50HZ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top"/>
          </w:tcPr>
          <w:p>
            <w:pPr>
              <w:rPr>
                <w:spacing w:val="8"/>
                <w:sz w:val="24"/>
                <w:szCs w:val="24"/>
              </w:rPr>
            </w:pPr>
            <w:r>
              <w:rPr>
                <w:rFonts w:hint="eastAsia"/>
                <w:spacing w:val="8"/>
                <w:sz w:val="24"/>
                <w:szCs w:val="24"/>
              </w:rPr>
              <w:t>重量(kg)</w:t>
            </w:r>
          </w:p>
        </w:tc>
        <w:tc>
          <w:tcPr>
            <w:tcW w:w="7088" w:type="dxa"/>
            <w:noWrap w:val="0"/>
            <w:vAlign w:val="top"/>
          </w:tcPr>
          <w:p>
            <w:pPr>
              <w:rPr>
                <w:spacing w:val="8"/>
                <w:sz w:val="24"/>
                <w:szCs w:val="24"/>
              </w:rPr>
            </w:pPr>
            <w:r>
              <w:rPr>
                <w:spacing w:val="8"/>
                <w:sz w:val="24"/>
                <w:szCs w:val="24"/>
              </w:rPr>
              <w:t>3</w:t>
            </w:r>
            <w:r>
              <w:rPr>
                <w:rFonts w:hint="eastAsia"/>
                <w:spacing w:val="8"/>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top"/>
          </w:tcPr>
          <w:p>
            <w:pPr>
              <w:rPr>
                <w:spacing w:val="8"/>
                <w:sz w:val="24"/>
                <w:szCs w:val="24"/>
              </w:rPr>
            </w:pPr>
            <w:r>
              <w:rPr>
                <w:rFonts w:hint="eastAsia"/>
                <w:spacing w:val="8"/>
                <w:sz w:val="24"/>
                <w:szCs w:val="24"/>
              </w:rPr>
              <w:t>外型尺寸</w:t>
            </w:r>
          </w:p>
        </w:tc>
        <w:tc>
          <w:tcPr>
            <w:tcW w:w="7088" w:type="dxa"/>
            <w:tcBorders>
              <w:top w:val="single" w:color="auto" w:sz="4" w:space="0"/>
              <w:left w:val="single" w:color="auto" w:sz="4" w:space="0"/>
              <w:bottom w:val="single" w:color="auto" w:sz="4" w:space="0"/>
              <w:right w:val="single" w:color="auto" w:sz="4" w:space="0"/>
            </w:tcBorders>
            <w:shd w:val="clear" w:color="auto" w:fill="DEEBF6" w:themeFill="accent1" w:themeFillTint="32"/>
            <w:noWrap w:val="0"/>
            <w:vAlign w:val="top"/>
          </w:tcPr>
          <w:p>
            <w:pPr>
              <w:rPr>
                <w:spacing w:val="8"/>
                <w:sz w:val="24"/>
                <w:szCs w:val="24"/>
              </w:rPr>
            </w:pPr>
            <w:r>
              <w:rPr>
                <w:rFonts w:hint="eastAsia"/>
                <w:spacing w:val="8"/>
                <w:sz w:val="24"/>
                <w:szCs w:val="24"/>
              </w:rPr>
              <w:t>(540×200×530)mm</w:t>
            </w:r>
          </w:p>
        </w:tc>
      </w:tr>
    </w:tbl>
    <w:p>
      <w:pPr>
        <w:ind w:right="-313" w:rightChars="-149"/>
        <w:rPr>
          <w:rFonts w:hint="eastAsia" w:ascii="宋体" w:hAnsi="宋体"/>
          <w:b/>
          <w:sz w:val="28"/>
          <w:szCs w:val="28"/>
        </w:rPr>
      </w:pPr>
    </w:p>
    <w:p>
      <w:pPr>
        <w:ind w:right="-313" w:rightChars="-149"/>
        <w:rPr>
          <w:rFonts w:hint="eastAsia" w:ascii="宋体" w:hAnsi="宋体"/>
          <w:b/>
          <w:sz w:val="28"/>
          <w:szCs w:val="28"/>
        </w:rPr>
      </w:pPr>
      <w:r>
        <w:rPr>
          <w:rFonts w:hint="eastAsia" w:ascii="宋体" w:hAnsi="宋体"/>
          <w:b/>
          <w:sz w:val="28"/>
          <w:szCs w:val="28"/>
        </w:rPr>
        <w:t>标准配置</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8"/>
        <w:gridCol w:w="4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1.主机（显微维氏压头一只，1</w:t>
            </w:r>
            <w:r>
              <w:rPr>
                <w:rFonts w:ascii="宋体" w:hAnsi="宋体"/>
                <w:sz w:val="24"/>
                <w:szCs w:val="24"/>
              </w:rPr>
              <w:t>0</w:t>
            </w:r>
            <w:r>
              <w:rPr>
                <w:rFonts w:ascii="宋体" w:hAnsi="宋体"/>
                <w:sz w:val="24"/>
                <w:szCs w:val="24"/>
                <w:vertAlign w:val="superscript"/>
              </w:rPr>
              <w:t>X</w:t>
            </w:r>
            <w:r>
              <w:rPr>
                <w:rFonts w:hint="eastAsia" w:ascii="宋体" w:hAnsi="宋体"/>
                <w:sz w:val="24"/>
                <w:szCs w:val="24"/>
              </w:rPr>
              <w:t>、</w:t>
            </w:r>
            <w:r>
              <w:rPr>
                <w:rFonts w:ascii="宋体" w:hAnsi="宋体"/>
                <w:sz w:val="24"/>
                <w:szCs w:val="24"/>
              </w:rPr>
              <w:t>40</w:t>
            </w:r>
            <w:r>
              <w:rPr>
                <w:rFonts w:ascii="宋体" w:hAnsi="宋体"/>
                <w:sz w:val="24"/>
                <w:szCs w:val="24"/>
                <w:vertAlign w:val="superscript"/>
              </w:rPr>
              <w:t>X</w:t>
            </w:r>
            <w:r>
              <w:rPr>
                <w:rFonts w:hint="eastAsia" w:ascii="宋体" w:hAnsi="宋体"/>
                <w:sz w:val="24"/>
                <w:szCs w:val="24"/>
              </w:rPr>
              <w:t>物镜各一只）；</w:t>
            </w:r>
          </w:p>
        </w:tc>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2.试台、砝码、显微镜附件箱；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3.砝码                       6只</w:t>
            </w:r>
          </w:p>
        </w:tc>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4.砝码杆                     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5.十字工作台                 1个</w:t>
            </w:r>
          </w:p>
        </w:tc>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6.薄片夹持台                 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trPr>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7.平口夹持台                 1个</w:t>
            </w:r>
          </w:p>
        </w:tc>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8.细丝夹持台                 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9.水平仪                     1个</w:t>
            </w:r>
          </w:p>
        </w:tc>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10.螺丝批                     2把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11.水平调节螺钉               4只</w:t>
            </w:r>
          </w:p>
        </w:tc>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12.外接电源线                 1根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13.10</w:t>
            </w:r>
            <w:r>
              <w:rPr>
                <w:rFonts w:hint="eastAsia" w:ascii="宋体" w:hAnsi="宋体"/>
                <w:sz w:val="24"/>
                <w:szCs w:val="24"/>
                <w:vertAlign w:val="superscript"/>
              </w:rPr>
              <w:t>×</w:t>
            </w:r>
            <w:r>
              <w:rPr>
                <w:rFonts w:hint="eastAsia" w:ascii="宋体" w:hAnsi="宋体"/>
                <w:sz w:val="24"/>
                <w:szCs w:val="24"/>
              </w:rPr>
              <w:t>测微目镜               1只</w:t>
            </w:r>
          </w:p>
        </w:tc>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14.显微维氏硬度块    2块（HV1、HV0.2各一块）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15.保险丝（1 A）              2个</w:t>
            </w:r>
          </w:p>
        </w:tc>
        <w:tc>
          <w:tcPr>
            <w:tcW w:w="4838" w:type="dxa"/>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16.产品合格证</w:t>
            </w: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1</w:t>
            </w:r>
            <w:r>
              <w:rPr>
                <w:rFonts w:hint="eastAsia" w:ascii="宋体" w:hAnsi="宋体"/>
                <w:sz w:val="24"/>
                <w:szCs w:val="24"/>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bookmarkStart w:id="0" w:name="_GoBack" w:colFirst="0" w:colLast="1"/>
            <w:r>
              <w:rPr>
                <w:rFonts w:hint="eastAsia" w:ascii="宋体" w:hAnsi="宋体"/>
                <w:sz w:val="24"/>
                <w:szCs w:val="24"/>
              </w:rPr>
              <w:t>17.产品使用说明书</w:t>
            </w: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1</w:t>
            </w:r>
            <w:r>
              <w:rPr>
                <w:rFonts w:hint="eastAsia" w:ascii="宋体" w:hAnsi="宋体"/>
                <w:sz w:val="24"/>
                <w:szCs w:val="24"/>
              </w:rPr>
              <w:t>份</w:t>
            </w:r>
          </w:p>
        </w:tc>
        <w:tc>
          <w:tcPr>
            <w:tcW w:w="4838" w:type="dxa"/>
            <w:shd w:val="clear" w:color="auto" w:fill="DEEBF6" w:themeFill="accent1" w:themeFillTint="32"/>
            <w:noWrap w:val="0"/>
            <w:vAlign w:val="top"/>
          </w:tcPr>
          <w:p>
            <w:pPr>
              <w:adjustRightInd w:val="0"/>
              <w:snapToGrid w:val="0"/>
              <w:spacing w:line="360" w:lineRule="auto"/>
              <w:textAlignment w:val="baseline"/>
              <w:rPr>
                <w:rFonts w:ascii="宋体" w:hAnsi="宋体"/>
                <w:sz w:val="24"/>
                <w:szCs w:val="24"/>
              </w:rPr>
            </w:pPr>
            <w:r>
              <w:rPr>
                <w:rFonts w:hint="eastAsia" w:ascii="宋体" w:hAnsi="宋体"/>
                <w:sz w:val="24"/>
                <w:szCs w:val="24"/>
              </w:rPr>
              <w:t>18.防尘罩                     1只</w:t>
            </w:r>
          </w:p>
        </w:tc>
      </w:tr>
      <w:bookmarkEnd w:id="0"/>
    </w:tbl>
    <w:p>
      <w:pPr>
        <w:keepNext w:val="0"/>
        <w:keepLines w:val="0"/>
        <w:pageBreakBefore w:val="0"/>
        <w:widowControl w:val="0"/>
        <w:tabs>
          <w:tab w:val="left" w:pos="866"/>
        </w:tabs>
        <w:kinsoku/>
        <w:wordWrap/>
        <w:overflowPunct/>
        <w:topLinePunct w:val="0"/>
        <w:autoSpaceDE/>
        <w:autoSpaceDN/>
        <w:bidi w:val="0"/>
        <w:snapToGrid/>
        <w:spacing w:line="240" w:lineRule="auto"/>
        <w:jc w:val="both"/>
        <w:rPr>
          <w:rFonts w:hint="eastAsia" w:ascii="宋体" w:hAnsi="宋体" w:eastAsia="宋体" w:cs="宋体"/>
          <w:sz w:val="24"/>
          <w:szCs w:val="24"/>
          <w:lang w:val="en-US" w:eastAsia="zh-CN"/>
        </w:rPr>
      </w:pPr>
    </w:p>
    <w:sectPr>
      <w:headerReference r:id="rId3" w:type="default"/>
      <w:footerReference r:id="rId4" w:type="default"/>
      <w:pgSz w:w="11906" w:h="16838"/>
      <w:pgMar w:top="1134" w:right="907" w:bottom="2268" w:left="90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bidi w:val="0"/>
    </w:pPr>
    <w:r>
      <w:drawing>
        <wp:anchor distT="0" distB="0" distL="114300" distR="114300" simplePos="0" relativeHeight="251659264" behindDoc="1" locked="0" layoutInCell="1" allowOverlap="1">
          <wp:simplePos x="0" y="0"/>
          <wp:positionH relativeFrom="margin">
            <wp:align>center</wp:align>
          </wp:positionH>
          <wp:positionV relativeFrom="margin">
            <wp:posOffset>-540385</wp:posOffset>
          </wp:positionV>
          <wp:extent cx="7181215" cy="10309860"/>
          <wp:effectExtent l="0" t="0" r="635" b="15240"/>
          <wp:wrapNone/>
          <wp:docPr id="6" name="WordPictureWatermark11406" descr="钉钯资料排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PictureWatermark11406" descr="钉钯资料排版"/>
                  <pic:cNvPicPr>
                    <a:picLocks noChangeAspect="1"/>
                  </pic:cNvPicPr>
                </pic:nvPicPr>
                <pic:blipFill>
                  <a:blip r:embed="rId1"/>
                  <a:stretch>
                    <a:fillRect/>
                  </a:stretch>
                </pic:blipFill>
                <pic:spPr>
                  <a:xfrm>
                    <a:off x="0" y="0"/>
                    <a:ext cx="7181215" cy="1030986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7D18E3"/>
    <w:multiLevelType w:val="multilevel"/>
    <w:tmpl w:val="207D18E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0893D4E"/>
    <w:multiLevelType w:val="multilevel"/>
    <w:tmpl w:val="60893D4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D753EA"/>
    <w:rsid w:val="177501B2"/>
    <w:rsid w:val="274627E7"/>
    <w:rsid w:val="2DEA2F68"/>
    <w:rsid w:val="3F6641B9"/>
    <w:rsid w:val="410E6AD6"/>
    <w:rsid w:val="4A56258C"/>
    <w:rsid w:val="4CC51A51"/>
    <w:rsid w:val="66827F6D"/>
    <w:rsid w:val="66936EA2"/>
    <w:rsid w:val="6DD753EA"/>
    <w:rsid w:val="6F2D308F"/>
    <w:rsid w:val="71070ABA"/>
    <w:rsid w:val="784646FE"/>
    <w:rsid w:val="79FB0E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List 3"/>
    <w:basedOn w:val="1"/>
    <w:qFormat/>
    <w:uiPriority w:val="0"/>
    <w:pPr>
      <w:widowControl/>
      <w:ind w:left="567"/>
      <w:jc w:val="left"/>
    </w:pPr>
    <w:rPr>
      <w:rFonts w:ascii="Arial" w:hAnsi="Arial" w:eastAsia="Arial"/>
      <w:kern w:val="0"/>
      <w:sz w:val="20"/>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940</Words>
  <Characters>1002</Characters>
  <Lines>0</Lines>
  <Paragraphs>0</Paragraphs>
  <TotalTime>2</TotalTime>
  <ScaleCrop>false</ScaleCrop>
  <LinksUpToDate>false</LinksUpToDate>
  <CharactersWithSpaces>1027</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2021-12-21T08:22:00Z</dcterms:created>
  <dc:creator>A精密量仪-文海涛18965421407</dc:creator>
  <cp:lastModifiedBy>钜惠仪器-张茜茹</cp:lastModifiedBy>
  <cp:lastPrinted>2021-12-21T09:44:00Z</cp:lastPrinted>
  <dcterms:modified xsi:type="dcterms:W3CDTF">2022-01-07T08:45:00Z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A0264F8006774AC3ADC6BC62810E98CF</vt:lpwstr>
  </property>
</Properties>
</file>