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bidi w:val="0"/>
        <w:jc w:val="center"/>
        <w:rPr>
          <w:rFonts w:hint="eastAsia"/>
          <w:b/>
          <w:bCs/>
          <w:sz w:val="48"/>
          <w:szCs w:val="56"/>
          <w:lang w:val="en-US" w:eastAsia="zh-CN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洛氏硬度计</w:t>
      </w:r>
    </w:p>
    <w:p>
      <w:pPr>
        <w:bidi w:val="0"/>
        <w:jc w:val="center"/>
        <w:rPr>
          <w:rFonts w:hint="eastAsia" w:ascii="宋体" w:hAnsi="宋体" w:eastAsia="宋体" w:cs="宋体"/>
          <w:b/>
          <w:bCs/>
          <w:sz w:val="48"/>
          <w:szCs w:val="5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8"/>
          <w:szCs w:val="56"/>
          <w:lang w:val="en-US" w:eastAsia="zh-CN"/>
        </w:rPr>
        <w:t>HR-150A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295275</wp:posOffset>
            </wp:positionH>
            <wp:positionV relativeFrom="paragraph">
              <wp:posOffset>47625</wp:posOffset>
            </wp:positionV>
            <wp:extent cx="2852420" cy="2271395"/>
            <wp:effectExtent l="0" t="0" r="5080" b="14605"/>
            <wp:wrapNone/>
            <wp:docPr id="1" name="图片 1" descr="HR-150手动洛氏硬度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HR-150手动洛氏硬度计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52420" cy="2271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 xml:space="preserve">    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ind w:firstLine="3092" w:firstLineChars="700"/>
        <w:jc w:val="both"/>
        <w:rPr>
          <w:rFonts w:hint="eastAsia" w:ascii="宋体" w:hAnsi="宋体"/>
          <w:b/>
          <w:sz w:val="44"/>
          <w:szCs w:val="44"/>
          <w:lang w:val="en-US" w:eastAsia="zh-CN"/>
        </w:rPr>
      </w:pPr>
      <w:bookmarkStart w:id="0" w:name="_GoBack"/>
      <w:bookmarkEnd w:id="0"/>
    </w:p>
    <w:p>
      <w:pPr>
        <w:ind w:firstLine="3092" w:firstLineChars="700"/>
        <w:jc w:val="both"/>
        <w:rPr>
          <w:rFonts w:hint="eastAsia" w:ascii="宋体" w:hAnsi="宋体"/>
          <w:b/>
          <w:sz w:val="44"/>
          <w:szCs w:val="44"/>
          <w:lang w:val="en-US" w:eastAsia="zh-CN"/>
        </w:rPr>
      </w:pPr>
    </w:p>
    <w:p>
      <w:pPr>
        <w:ind w:firstLine="3092" w:firstLineChars="700"/>
        <w:jc w:val="both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>手动</w:t>
      </w:r>
      <w:r>
        <w:rPr>
          <w:rFonts w:hint="eastAsia" w:ascii="宋体" w:hAnsi="宋体"/>
          <w:b/>
          <w:sz w:val="44"/>
          <w:szCs w:val="44"/>
        </w:rPr>
        <w:t>洛氏</w:t>
      </w:r>
      <w:r>
        <w:rPr>
          <w:rFonts w:ascii="宋体" w:hAnsi="宋体"/>
          <w:b/>
          <w:sz w:val="44"/>
          <w:szCs w:val="44"/>
        </w:rPr>
        <w:t>硬度计</w:t>
      </w:r>
    </w:p>
    <w:p>
      <w:pPr>
        <w:ind w:firstLine="420" w:firstLineChars="200"/>
        <w:rPr>
          <w:rFonts w:hint="eastAsia" w:ascii="宋体" w:hAnsi="宋体"/>
          <w:szCs w:val="21"/>
        </w:rPr>
      </w:pPr>
    </w:p>
    <w:p>
      <w:pPr>
        <w:ind w:firstLine="480" w:firstLineChars="200"/>
        <w:rPr>
          <w:rFonts w:hint="eastAsia" w:ascii="新宋体" w:hAnsi="新宋体" w:eastAsia="新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</w:rPr>
        <w:t>手动洛氏</w:t>
      </w:r>
      <w:r>
        <w:rPr>
          <w:rFonts w:ascii="宋体" w:hAnsi="宋体"/>
          <w:sz w:val="24"/>
          <w:szCs w:val="24"/>
        </w:rPr>
        <w:t>硬度计</w:t>
      </w:r>
      <w:r>
        <w:rPr>
          <w:rFonts w:hint="eastAsia" w:ascii="宋体" w:hAnsi="宋体"/>
          <w:sz w:val="24"/>
          <w:szCs w:val="24"/>
        </w:rPr>
        <w:t>性能稳定可靠，是普及型的洛氏机。</w:t>
      </w:r>
      <w:r>
        <w:rPr>
          <w:rFonts w:hint="eastAsia" w:ascii="新宋体" w:hAnsi="新宋体" w:eastAsia="新宋体" w:cs="宋体"/>
          <w:kern w:val="0"/>
          <w:sz w:val="24"/>
          <w:szCs w:val="24"/>
        </w:rPr>
        <w:t>采用机械式手动测试，无需电源</w:t>
      </w:r>
      <w:r>
        <w:rPr>
          <w:rFonts w:hint="eastAsia" w:ascii="新宋体" w:hAnsi="新宋体" w:eastAsia="新宋体" w:cs="宋体"/>
          <w:kern w:val="0"/>
          <w:sz w:val="24"/>
          <w:szCs w:val="24"/>
          <w:lang w:val="en-US" w:eastAsia="zh-CN"/>
        </w:rPr>
        <w:t>，</w:t>
      </w:r>
    </w:p>
    <w:p>
      <w:pPr>
        <w:widowControl/>
        <w:shd w:val="clear" w:color="auto" w:fill="FFFFFF"/>
        <w:ind w:firstLine="480" w:firstLineChars="200"/>
        <w:jc w:val="left"/>
        <w:rPr>
          <w:rFonts w:hint="eastAsia"/>
        </w:rPr>
      </w:pPr>
      <w:r>
        <w:rPr>
          <w:rFonts w:hint="eastAsia" w:ascii="新宋体" w:hAnsi="新宋体" w:eastAsia="新宋体" w:cs="宋体"/>
          <w:kern w:val="0"/>
          <w:sz w:val="24"/>
          <w:szCs w:val="24"/>
        </w:rPr>
        <w:t>适用范围广，操作简便，具有良好的</w:t>
      </w:r>
      <w:r>
        <w:rPr>
          <w:rFonts w:hint="eastAsia" w:ascii="新宋体" w:hAnsi="新宋体" w:eastAsia="新宋体" w:cs="宋体"/>
          <w:kern w:val="0"/>
          <w:sz w:val="24"/>
          <w:szCs w:val="24"/>
        </w:rPr>
        <w:fldChar w:fldCharType="begin"/>
      </w:r>
      <w:r>
        <w:rPr>
          <w:rFonts w:hint="eastAsia" w:ascii="新宋体" w:hAnsi="新宋体" w:eastAsia="新宋体" w:cs="宋体"/>
          <w:kern w:val="0"/>
          <w:sz w:val="24"/>
          <w:szCs w:val="24"/>
        </w:rPr>
        <w:instrText xml:space="preserve"> HYPERLINK "http://www.t-instr.com/so/?word=经济" \o "查看更多" \t "_blank" </w:instrText>
      </w:r>
      <w:r>
        <w:rPr>
          <w:rFonts w:hint="eastAsia" w:ascii="新宋体" w:hAnsi="新宋体" w:eastAsia="新宋体" w:cs="宋体"/>
          <w:kern w:val="0"/>
          <w:sz w:val="24"/>
          <w:szCs w:val="24"/>
        </w:rPr>
        <w:fldChar w:fldCharType="separate"/>
      </w:r>
      <w:r>
        <w:rPr>
          <w:rFonts w:hint="eastAsia" w:ascii="新宋体" w:hAnsi="新宋体" w:eastAsia="新宋体" w:cs="宋体"/>
          <w:kern w:val="0"/>
          <w:sz w:val="24"/>
          <w:szCs w:val="24"/>
        </w:rPr>
        <w:t>经济</w:t>
      </w:r>
      <w:r>
        <w:rPr>
          <w:rFonts w:hint="eastAsia" w:ascii="新宋体" w:hAnsi="新宋体" w:eastAsia="新宋体" w:cs="宋体"/>
          <w:kern w:val="0"/>
          <w:sz w:val="24"/>
          <w:szCs w:val="24"/>
        </w:rPr>
        <w:fldChar w:fldCharType="end"/>
      </w:r>
      <w:r>
        <w:rPr>
          <w:rFonts w:hint="eastAsia" w:ascii="新宋体" w:hAnsi="新宋体" w:eastAsia="新宋体" w:cs="宋体"/>
          <w:kern w:val="0"/>
          <w:sz w:val="24"/>
          <w:szCs w:val="24"/>
        </w:rPr>
        <w:t>性和实用性。</w:t>
      </w:r>
    </w:p>
    <w:p>
      <w:pPr>
        <w:rPr>
          <w:rFonts w:hint="eastAsia"/>
        </w:rPr>
      </w:pPr>
    </w:p>
    <w:p>
      <w:pPr>
        <w:rPr>
          <w:rFonts w:hint="eastAsia" w:ascii="宋体" w:hAnsi="宋体"/>
          <w:b/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</w:rPr>
        <w:t>主要功能和特点：</w:t>
      </w:r>
    </w:p>
    <w:p>
      <w:pPr>
        <w:numPr>
          <w:ilvl w:val="0"/>
          <w:numId w:val="1"/>
        </w:numPr>
        <w:rPr>
          <w:rFonts w:hint="eastAsia"/>
          <w:szCs w:val="21"/>
        </w:rPr>
      </w:pPr>
    </w:p>
    <w:p>
      <w:pPr>
        <w:ind w:left="36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通过表盘指针</w:t>
      </w:r>
      <w:r>
        <w:rPr>
          <w:rFonts w:hint="eastAsia"/>
          <w:bCs/>
          <w:sz w:val="24"/>
          <w:szCs w:val="24"/>
        </w:rPr>
        <w:t>直接读出硬度值，</w:t>
      </w:r>
      <w:r>
        <w:rPr>
          <w:rFonts w:hint="eastAsia"/>
          <w:sz w:val="24"/>
          <w:szCs w:val="24"/>
        </w:rPr>
        <w:t>指针反应灵敏，所测结果高于国家标准；</w:t>
      </w:r>
    </w:p>
    <w:p>
      <w:pPr>
        <w:numPr>
          <w:ilvl w:val="0"/>
          <w:numId w:val="1"/>
        </w:numPr>
        <w:rPr>
          <w:rFonts w:hint="eastAsia" w:ascii="宋体" w:hAnsi="宋体"/>
          <w:sz w:val="24"/>
          <w:szCs w:val="24"/>
        </w:rPr>
      </w:pPr>
    </w:p>
    <w:p>
      <w:pPr>
        <w:ind w:left="36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壳体由特殊翻砂工艺一次成型铸造而成，结构稳定不变形,能在较为恶劣的环境下工作；</w:t>
      </w:r>
      <w:r>
        <w:rPr>
          <w:rFonts w:hint="eastAsia" w:ascii="宋体" w:hAnsi="宋体"/>
          <w:bCs/>
          <w:sz w:val="24"/>
          <w:szCs w:val="24"/>
        </w:rPr>
        <w:t>汽车烤漆档次高</w:t>
      </w:r>
      <w:r>
        <w:rPr>
          <w:rFonts w:hint="eastAsia" w:ascii="宋体" w:hAnsi="宋体"/>
          <w:sz w:val="24"/>
          <w:szCs w:val="24"/>
        </w:rPr>
        <w:t>，抗划伤能力强，使用多年依然光亮如新；</w:t>
      </w:r>
    </w:p>
    <w:p>
      <w:pPr>
        <w:numPr>
          <w:ilvl w:val="0"/>
          <w:numId w:val="1"/>
        </w:numPr>
        <w:rPr>
          <w:rFonts w:hint="eastAsia" w:ascii="宋体" w:hAnsi="宋体"/>
          <w:sz w:val="24"/>
          <w:szCs w:val="24"/>
        </w:rPr>
      </w:pPr>
    </w:p>
    <w:p>
      <w:pPr>
        <w:ind w:left="36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我们具备自行研发设计，生产加工的能力，我们的机器终身提供配件更换和维护升级服务；</w:t>
      </w:r>
    </w:p>
    <w:p>
      <w:pPr>
        <w:rPr>
          <w:rFonts w:hint="eastAsia" w:ascii="宋体" w:hAnsi="宋体"/>
          <w:b/>
          <w:bCs/>
          <w:sz w:val="24"/>
          <w:szCs w:val="24"/>
        </w:rPr>
      </w:pPr>
    </w:p>
    <w:p>
      <w:pPr>
        <w:rPr>
          <w:rFonts w:hint="eastAsia" w:ascii="宋体" w:hAnsi="宋体"/>
          <w:b/>
          <w:bCs/>
          <w:sz w:val="24"/>
          <w:szCs w:val="24"/>
        </w:rPr>
      </w:pP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主要用途和适用范围：</w:t>
      </w:r>
    </w:p>
    <w:p>
      <w:pPr>
        <w:numPr>
          <w:ilvl w:val="0"/>
          <w:numId w:val="2"/>
        </w:numPr>
        <w:rPr>
          <w:rFonts w:hint="eastAsia" w:ascii="宋体" w:hAnsi="宋体"/>
          <w:szCs w:val="21"/>
        </w:rPr>
      </w:pPr>
      <w:r>
        <w:rPr>
          <w:rFonts w:hint="eastAsia" w:ascii="宋体" w:hAnsi="宋体"/>
          <w:sz w:val="24"/>
          <w:szCs w:val="24"/>
        </w:rPr>
        <w:t>淬</w:t>
      </w:r>
      <w:r>
        <w:rPr>
          <w:rFonts w:ascii="宋体" w:hAnsi="宋体"/>
          <w:sz w:val="24"/>
          <w:szCs w:val="24"/>
        </w:rPr>
        <w:t>火钢，调质</w:t>
      </w:r>
      <w:r>
        <w:rPr>
          <w:rFonts w:hint="eastAsia" w:ascii="宋体" w:hAnsi="宋体"/>
          <w:sz w:val="24"/>
          <w:szCs w:val="24"/>
        </w:rPr>
        <w:t>钢</w:t>
      </w:r>
      <w:r>
        <w:rPr>
          <w:rFonts w:ascii="宋体" w:hAnsi="宋体"/>
          <w:sz w:val="24"/>
          <w:szCs w:val="24"/>
        </w:rPr>
        <w:t>、退火钢，轴承钢，带钢</w:t>
      </w:r>
      <w:r>
        <w:rPr>
          <w:rFonts w:hint="eastAsia" w:ascii="宋体" w:hAnsi="宋体"/>
          <w:sz w:val="24"/>
          <w:szCs w:val="24"/>
        </w:rPr>
        <w:t>，硬化薄钢板，硬质合金</w:t>
      </w:r>
      <w:r>
        <w:rPr>
          <w:rFonts w:ascii="宋体" w:hAnsi="宋体"/>
          <w:sz w:val="24"/>
          <w:szCs w:val="24"/>
        </w:rPr>
        <w:t>等</w:t>
      </w:r>
      <w:r>
        <w:rPr>
          <w:rFonts w:hint="eastAsia" w:ascii="宋体" w:hAnsi="宋体"/>
          <w:sz w:val="24"/>
          <w:szCs w:val="24"/>
        </w:rPr>
        <w:t>；</w:t>
      </w:r>
    </w:p>
    <w:p>
      <w:pPr>
        <w:widowControl/>
        <w:shd w:val="clear" w:color="auto" w:fill="FFFFFF"/>
        <w:jc w:val="left"/>
        <w:rPr>
          <w:rFonts w:hint="eastAsia" w:ascii="新宋体" w:hAnsi="新宋体" w:eastAsia="新宋体"/>
          <w:b/>
          <w:kern w:val="0"/>
          <w:szCs w:val="21"/>
        </w:rPr>
      </w:pPr>
    </w:p>
    <w:p>
      <w:pPr>
        <w:widowControl/>
        <w:shd w:val="clear" w:color="auto" w:fill="FFFFFF"/>
        <w:jc w:val="left"/>
        <w:rPr>
          <w:rFonts w:hint="eastAsia" w:ascii="新宋体" w:hAnsi="新宋体" w:eastAsia="新宋体"/>
          <w:b/>
          <w:kern w:val="0"/>
          <w:szCs w:val="21"/>
        </w:rPr>
      </w:pPr>
      <w:r>
        <w:rPr>
          <w:rFonts w:hint="eastAsia" w:ascii="新宋体" w:hAnsi="新宋体" w:eastAsia="新宋体"/>
          <w:b/>
          <w:kern w:val="0"/>
          <w:sz w:val="24"/>
          <w:szCs w:val="24"/>
        </w:rPr>
        <w:t>技术参数</w:t>
      </w:r>
      <w:r>
        <w:rPr>
          <w:rFonts w:hint="eastAsia" w:ascii="新宋体" w:hAnsi="新宋体" w:eastAsia="新宋体"/>
          <w:b/>
          <w:kern w:val="0"/>
          <w:szCs w:val="21"/>
        </w:rPr>
        <w:t>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7"/>
        <w:gridCol w:w="72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797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产品型号</w:t>
            </w:r>
          </w:p>
        </w:tc>
        <w:tc>
          <w:tcPr>
            <w:tcW w:w="7278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HR-150A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797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初试验力</w:t>
            </w:r>
          </w:p>
        </w:tc>
        <w:tc>
          <w:tcPr>
            <w:tcW w:w="7278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10kgf(98.07N)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797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试验力</w:t>
            </w:r>
          </w:p>
        </w:tc>
        <w:tc>
          <w:tcPr>
            <w:tcW w:w="7278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60kgf(588N)   100kgf(980N)    150kgf(1471N)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797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洛式标尺</w:t>
            </w:r>
          </w:p>
        </w:tc>
        <w:tc>
          <w:tcPr>
            <w:tcW w:w="7278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 xml:space="preserve">HRA、HRB、HRC、HRD、HRE、HRF、HRG、HRH、HRK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797" w:type="dxa"/>
            <w:vMerge w:val="restart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测试范围</w:t>
            </w:r>
          </w:p>
        </w:tc>
        <w:tc>
          <w:tcPr>
            <w:tcW w:w="7278" w:type="dxa"/>
            <w:noWrap w:val="0"/>
            <w:vAlign w:val="center"/>
          </w:tcPr>
          <w:p>
            <w:pPr>
              <w:tabs>
                <w:tab w:val="left" w:pos="4950"/>
              </w:tabs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 xml:space="preserve">HRA:20-88   HRB:20-100  HRC:20-70  HRD:40-77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97" w:type="dxa"/>
            <w:vMerge w:val="continue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</w:p>
        </w:tc>
        <w:tc>
          <w:tcPr>
            <w:tcW w:w="7278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HRF:60-100  HRG:30-94  HRH:80-100  HRK:40-100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797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数据输出</w:t>
            </w:r>
          </w:p>
        </w:tc>
        <w:tc>
          <w:tcPr>
            <w:tcW w:w="7278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表盘读取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797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执行标准</w:t>
            </w:r>
          </w:p>
        </w:tc>
        <w:tc>
          <w:tcPr>
            <w:tcW w:w="7278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GB/T230.1  GB/T230.2国家标准  JJG112检定规程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797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试件最大高度</w:t>
            </w:r>
          </w:p>
        </w:tc>
        <w:tc>
          <w:tcPr>
            <w:tcW w:w="7278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170mm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797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压头-外壁距离</w:t>
            </w:r>
          </w:p>
        </w:tc>
        <w:tc>
          <w:tcPr>
            <w:tcW w:w="7278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135mm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97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外形尺寸(mm)</w:t>
            </w:r>
          </w:p>
        </w:tc>
        <w:tc>
          <w:tcPr>
            <w:tcW w:w="7278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  466×238×630mm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97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主机重量</w:t>
            </w:r>
          </w:p>
        </w:tc>
        <w:tc>
          <w:tcPr>
            <w:tcW w:w="7278" w:type="dxa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约65kg</w:t>
            </w:r>
          </w:p>
        </w:tc>
      </w:tr>
    </w:tbl>
    <w:p>
      <w:pPr>
        <w:ind w:left="162" w:leftChars="27" w:hanging="105" w:hangingChars="50"/>
        <w:rPr>
          <w:rFonts w:hint="eastAsia" w:ascii="新宋体" w:hAnsi="新宋体" w:eastAsia="新宋体"/>
          <w:b/>
          <w:szCs w:val="21"/>
        </w:rPr>
      </w:pPr>
    </w:p>
    <w:p>
      <w:pPr>
        <w:spacing w:after="156" w:afterLines="50"/>
        <w:rPr>
          <w:rFonts w:hint="eastAsia" w:ascii="新宋体" w:hAnsi="新宋体" w:eastAsia="新宋体"/>
          <w:b/>
          <w:sz w:val="24"/>
          <w:szCs w:val="24"/>
        </w:rPr>
      </w:pPr>
    </w:p>
    <w:p>
      <w:pPr>
        <w:spacing w:after="156" w:afterLines="50"/>
        <w:rPr>
          <w:rFonts w:hint="eastAsia" w:ascii="新宋体" w:hAnsi="新宋体" w:eastAsia="新宋体"/>
          <w:b/>
          <w:sz w:val="24"/>
          <w:szCs w:val="24"/>
        </w:rPr>
      </w:pPr>
    </w:p>
    <w:p>
      <w:pPr>
        <w:spacing w:after="156" w:afterLines="50"/>
        <w:rPr>
          <w:rFonts w:hint="eastAsia" w:ascii="新宋体" w:hAnsi="新宋体" w:eastAsia="新宋体"/>
          <w:b/>
          <w:sz w:val="24"/>
          <w:szCs w:val="24"/>
        </w:rPr>
      </w:pPr>
      <w:r>
        <w:rPr>
          <w:rFonts w:hint="eastAsia" w:ascii="新宋体" w:hAnsi="新宋体" w:eastAsia="新宋体"/>
          <w:b/>
          <w:sz w:val="24"/>
          <w:szCs w:val="24"/>
        </w:rPr>
        <w:t>附件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26"/>
        <w:gridCol w:w="1250"/>
        <w:gridCol w:w="2848"/>
        <w:gridCol w:w="16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3326" w:type="dxa"/>
            <w:shd w:val="clear" w:color="auto" w:fill="DEEBF6" w:themeFill="accent1" w:themeFillTint="32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b/>
                <w:szCs w:val="21"/>
              </w:rPr>
              <w:t>名称</w:t>
            </w:r>
          </w:p>
        </w:tc>
        <w:tc>
          <w:tcPr>
            <w:tcW w:w="1250" w:type="dxa"/>
            <w:shd w:val="clear" w:color="auto" w:fill="DEEBF6" w:themeFill="accent1" w:themeFillTint="32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b/>
                <w:szCs w:val="21"/>
              </w:rPr>
              <w:t>数量</w:t>
            </w:r>
          </w:p>
        </w:tc>
        <w:tc>
          <w:tcPr>
            <w:tcW w:w="2848" w:type="dxa"/>
            <w:shd w:val="clear" w:color="auto" w:fill="DEEBF6" w:themeFill="accent1" w:themeFillTint="32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b/>
                <w:szCs w:val="21"/>
              </w:rPr>
              <w:t>名称</w:t>
            </w:r>
          </w:p>
        </w:tc>
        <w:tc>
          <w:tcPr>
            <w:tcW w:w="1606" w:type="dxa"/>
            <w:shd w:val="clear" w:color="auto" w:fill="DEEBF6" w:themeFill="accent1" w:themeFillTint="32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b/>
                <w:szCs w:val="21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3326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金刚石洛式压头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1只</w:t>
            </w:r>
          </w:p>
        </w:tc>
        <w:tc>
          <w:tcPr>
            <w:tcW w:w="2848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直径1.5875mm球压头</w:t>
            </w:r>
          </w:p>
        </w:tc>
        <w:tc>
          <w:tcPr>
            <w:tcW w:w="1606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3326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硬度块（HRC高中低3块、HRB 1块、HRA 1块）</w:t>
            </w:r>
          </w:p>
        </w:tc>
        <w:tc>
          <w:tcPr>
            <w:tcW w:w="1250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5块</w:t>
            </w:r>
          </w:p>
        </w:tc>
        <w:tc>
          <w:tcPr>
            <w:tcW w:w="2848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大、中、 V型试台</w:t>
            </w:r>
          </w:p>
        </w:tc>
        <w:tc>
          <w:tcPr>
            <w:tcW w:w="1606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各1只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3326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大小螺丝刀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各1只</w:t>
            </w:r>
          </w:p>
        </w:tc>
        <w:tc>
          <w:tcPr>
            <w:tcW w:w="2848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防尘塑料罩</w:t>
            </w:r>
          </w:p>
        </w:tc>
        <w:tc>
          <w:tcPr>
            <w:tcW w:w="1606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3326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产品使用说明书</w:t>
            </w:r>
          </w:p>
        </w:tc>
        <w:tc>
          <w:tcPr>
            <w:tcW w:w="1250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1份</w:t>
            </w:r>
          </w:p>
        </w:tc>
        <w:tc>
          <w:tcPr>
            <w:tcW w:w="2848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产品合格证</w:t>
            </w:r>
          </w:p>
        </w:tc>
        <w:tc>
          <w:tcPr>
            <w:tcW w:w="1606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1份</w:t>
            </w:r>
          </w:p>
        </w:tc>
      </w:tr>
    </w:tbl>
    <w:p>
      <w:pPr>
        <w:ind w:right="-313" w:rightChars="-149"/>
        <w:rPr>
          <w:rFonts w:ascii="宋体" w:hAnsi="宋体"/>
          <w:szCs w:val="21"/>
        </w:rPr>
      </w:pPr>
    </w:p>
    <w:p>
      <w:pPr>
        <w:tabs>
          <w:tab w:val="left" w:pos="866"/>
        </w:tabs>
        <w:bidi w:val="0"/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align>center</wp:align>
          </wp:positionH>
          <wp:positionV relativeFrom="margin">
            <wp:posOffset>-540385</wp:posOffset>
          </wp:positionV>
          <wp:extent cx="7181215" cy="10309860"/>
          <wp:effectExtent l="0" t="0" r="635" b="15240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1215" cy="10309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BC5F4D"/>
    <w:multiLevelType w:val="multilevel"/>
    <w:tmpl w:val="1DBC5F4D"/>
    <w:lvl w:ilvl="0" w:tentative="0">
      <w:start w:val="1"/>
      <w:numFmt w:val="decimal"/>
      <w:lvlText w:val="%1、"/>
      <w:lvlJc w:val="left"/>
      <w:pPr>
        <w:ind w:left="46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45" w:hanging="420"/>
      </w:pPr>
    </w:lvl>
    <w:lvl w:ilvl="2" w:tentative="0">
      <w:start w:val="1"/>
      <w:numFmt w:val="lowerRoman"/>
      <w:lvlText w:val="%3."/>
      <w:lvlJc w:val="right"/>
      <w:pPr>
        <w:ind w:left="1365" w:hanging="420"/>
      </w:pPr>
    </w:lvl>
    <w:lvl w:ilvl="3" w:tentative="0">
      <w:start w:val="1"/>
      <w:numFmt w:val="decimal"/>
      <w:lvlText w:val="%4."/>
      <w:lvlJc w:val="left"/>
      <w:pPr>
        <w:ind w:left="1785" w:hanging="420"/>
      </w:pPr>
    </w:lvl>
    <w:lvl w:ilvl="4" w:tentative="0">
      <w:start w:val="1"/>
      <w:numFmt w:val="lowerLetter"/>
      <w:lvlText w:val="%5)"/>
      <w:lvlJc w:val="left"/>
      <w:pPr>
        <w:ind w:left="2205" w:hanging="420"/>
      </w:pPr>
    </w:lvl>
    <w:lvl w:ilvl="5" w:tentative="0">
      <w:start w:val="1"/>
      <w:numFmt w:val="lowerRoman"/>
      <w:lvlText w:val="%6."/>
      <w:lvlJc w:val="right"/>
      <w:pPr>
        <w:ind w:left="2625" w:hanging="420"/>
      </w:pPr>
    </w:lvl>
    <w:lvl w:ilvl="6" w:tentative="0">
      <w:start w:val="1"/>
      <w:numFmt w:val="decimal"/>
      <w:lvlText w:val="%7."/>
      <w:lvlJc w:val="left"/>
      <w:pPr>
        <w:ind w:left="3045" w:hanging="420"/>
      </w:pPr>
    </w:lvl>
    <w:lvl w:ilvl="7" w:tentative="0">
      <w:start w:val="1"/>
      <w:numFmt w:val="lowerLetter"/>
      <w:lvlText w:val="%8)"/>
      <w:lvlJc w:val="left"/>
      <w:pPr>
        <w:ind w:left="3465" w:hanging="420"/>
      </w:pPr>
    </w:lvl>
    <w:lvl w:ilvl="8" w:tentative="0">
      <w:start w:val="1"/>
      <w:numFmt w:val="lowerRoman"/>
      <w:lvlText w:val="%9."/>
      <w:lvlJc w:val="right"/>
      <w:pPr>
        <w:ind w:left="3885" w:hanging="420"/>
      </w:pPr>
    </w:lvl>
  </w:abstractNum>
  <w:abstractNum w:abstractNumId="1">
    <w:nsid w:val="60893D4E"/>
    <w:multiLevelType w:val="multilevel"/>
    <w:tmpl w:val="60893D4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177501B2"/>
    <w:rsid w:val="274627E7"/>
    <w:rsid w:val="2DEA2F68"/>
    <w:rsid w:val="37485EE0"/>
    <w:rsid w:val="3C576E04"/>
    <w:rsid w:val="3F6641B9"/>
    <w:rsid w:val="4A56258C"/>
    <w:rsid w:val="4B8E56B1"/>
    <w:rsid w:val="4CC51A51"/>
    <w:rsid w:val="50F06166"/>
    <w:rsid w:val="5F1D417B"/>
    <w:rsid w:val="66827F6D"/>
    <w:rsid w:val="6DD753EA"/>
    <w:rsid w:val="71070ABA"/>
    <w:rsid w:val="7C1C3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4</TotalTime>
  <ScaleCrop>false</ScaleCrop>
  <LinksUpToDate>false</LinksUpToDate>
  <CharactersWithSpaces>1027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钜惠仪器-张茜茹</cp:lastModifiedBy>
  <cp:lastPrinted>2021-12-21T09:44:00Z</cp:lastPrinted>
  <dcterms:modified xsi:type="dcterms:W3CDTF">2022-01-06T00:34:19Z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1B0E47A857EF4A089D7FD1A2FE2802AB</vt:lpwstr>
  </property>
</Properties>
</file>